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43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9C6C20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9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736875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B53B4F">
        <w:rPr>
          <w:rFonts w:ascii="Tahoma" w:hAnsi="Tahoma" w:cs="Tahoma"/>
          <w:sz w:val="24"/>
          <w:szCs w:val="24"/>
          <w:u w:val="single"/>
          <w:lang w:val="fr-FR"/>
        </w:rPr>
        <w:t>1</w:t>
      </w:r>
      <w:r w:rsidR="004B6ACB">
        <w:rPr>
          <w:rFonts w:ascii="Tahoma" w:hAnsi="Tahoma" w:cs="Tahoma"/>
          <w:sz w:val="24"/>
          <w:szCs w:val="24"/>
          <w:u w:val="single"/>
          <w:lang w:val="fr-FR"/>
        </w:rPr>
        <w:t>1</w:t>
      </w:r>
    </w:p>
    <w:p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91E59">
        <w:rPr>
          <w:rFonts w:ascii="Tahoma" w:hAnsi="Tahoma" w:cs="Tahoma"/>
          <w:b/>
          <w:sz w:val="24"/>
          <w:szCs w:val="24"/>
          <w:lang w:val="fr-FR"/>
        </w:rPr>
        <w:t>29</w:t>
      </w:r>
      <w:r w:rsidR="00C91DA3">
        <w:rPr>
          <w:rFonts w:ascii="Tahoma" w:hAnsi="Tahoma" w:cs="Tahoma"/>
          <w:b/>
          <w:sz w:val="24"/>
          <w:szCs w:val="24"/>
          <w:lang w:val="fr-FR"/>
        </w:rPr>
        <w:t xml:space="preserve"> ianuarie 2013</w:t>
      </w:r>
    </w:p>
    <w:p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:rsidR="00B53B4F" w:rsidRDefault="009F4043" w:rsidP="00B53B4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AF2426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AF2426">
        <w:rPr>
          <w:rFonts w:ascii="Tahoma" w:hAnsi="Tahoma" w:cs="Tahoma"/>
          <w:b/>
          <w:sz w:val="24"/>
          <w:szCs w:val="24"/>
        </w:rPr>
        <w:t xml:space="preserve"> </w:t>
      </w:r>
      <w:r w:rsidR="00B53B4F" w:rsidRPr="00B53B4F">
        <w:rPr>
          <w:rFonts w:ascii="Tahoma" w:hAnsi="Tahoma" w:cs="Tahoma"/>
          <w:b/>
          <w:sz w:val="24"/>
          <w:szCs w:val="24"/>
          <w:lang w:val="ro-RO"/>
        </w:rPr>
        <w:t xml:space="preserve">aprobarea atribuirii denumiri a două străzi </w:t>
      </w:r>
      <w:r w:rsidR="00B53B4F">
        <w:rPr>
          <w:rFonts w:ascii="Tahoma" w:hAnsi="Tahoma" w:cs="Tahoma"/>
          <w:b/>
          <w:sz w:val="24"/>
          <w:szCs w:val="24"/>
          <w:lang w:val="ro-RO"/>
        </w:rPr>
        <w:t>în Municipiul</w:t>
      </w:r>
      <w:r w:rsidR="00B53B4F" w:rsidRPr="00B53B4F">
        <w:rPr>
          <w:rFonts w:ascii="Tahoma" w:hAnsi="Tahoma" w:cs="Tahoma"/>
          <w:b/>
          <w:sz w:val="24"/>
          <w:szCs w:val="24"/>
          <w:lang w:val="ro-RO"/>
        </w:rPr>
        <w:t xml:space="preserve"> Dej, Zona Industrială Sud</w:t>
      </w:r>
    </w:p>
    <w:p w:rsidR="00B53B4F" w:rsidRPr="00B53B4F" w:rsidRDefault="00B53B4F" w:rsidP="00B53B4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B53B4F" w:rsidRDefault="007D1EAC" w:rsidP="00B53B4F">
      <w:pPr>
        <w:pStyle w:val="Corptext"/>
        <w:spacing w:after="0"/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7D1EAC">
        <w:rPr>
          <w:rFonts w:ascii="Tahoma" w:hAnsi="Tahoma" w:cs="Tahoma"/>
          <w:b/>
          <w:sz w:val="24"/>
          <w:szCs w:val="24"/>
        </w:rPr>
        <w:t>Consiliul local al Municipiului Dej,</w:t>
      </w:r>
      <w:r>
        <w:rPr>
          <w:rFonts w:ascii="Tahoma" w:hAnsi="Tahoma" w:cs="Tahoma"/>
          <w:sz w:val="24"/>
          <w:szCs w:val="24"/>
        </w:rPr>
        <w:t xml:space="preserve"> întrunit în ședința </w:t>
      </w:r>
      <w:r w:rsidR="00F91E59">
        <w:rPr>
          <w:rFonts w:ascii="Tahoma" w:hAnsi="Tahoma" w:cs="Tahoma"/>
          <w:sz w:val="24"/>
          <w:szCs w:val="24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F91E59">
        <w:rPr>
          <w:rFonts w:ascii="Tahoma" w:hAnsi="Tahoma" w:cs="Tahoma"/>
          <w:sz w:val="24"/>
          <w:szCs w:val="24"/>
          <w:lang w:val="ro-RO"/>
        </w:rPr>
        <w:t>29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ianuarie 2013;</w:t>
      </w:r>
    </w:p>
    <w:p w:rsidR="004B6ACB" w:rsidRPr="004B6ACB" w:rsidRDefault="00AC32A0" w:rsidP="004B6ACB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</w:rPr>
        <w:tab/>
      </w:r>
      <w:r w:rsidR="002B7405" w:rsidRPr="006D5371">
        <w:rPr>
          <w:rFonts w:ascii="Tahoma" w:hAnsi="Tahoma" w:cs="Tahoma"/>
          <w:bCs/>
          <w:sz w:val="24"/>
          <w:szCs w:val="24"/>
        </w:rPr>
        <w:t xml:space="preserve">Având în vedere </w:t>
      </w:r>
      <w:r w:rsidR="002B7405" w:rsidRPr="006D5371">
        <w:rPr>
          <w:rFonts w:ascii="Tahoma" w:hAnsi="Tahoma" w:cs="Tahoma"/>
          <w:b/>
          <w:sz w:val="24"/>
          <w:szCs w:val="24"/>
        </w:rPr>
        <w:t>proiectul de hotărâre</w:t>
      </w:r>
      <w:r w:rsidR="002B7405" w:rsidRPr="006D5371">
        <w:rPr>
          <w:rFonts w:ascii="Tahoma" w:hAnsi="Tahoma" w:cs="Tahoma"/>
          <w:sz w:val="24"/>
          <w:szCs w:val="24"/>
        </w:rPr>
        <w:t xml:space="preserve">, prezentat din </w:t>
      </w:r>
      <w:r w:rsidR="002B7405" w:rsidRPr="006D5371">
        <w:rPr>
          <w:rFonts w:ascii="Tahoma" w:hAnsi="Tahoma" w:cs="Tahoma"/>
          <w:b/>
          <w:sz w:val="24"/>
          <w:szCs w:val="24"/>
        </w:rPr>
        <w:t>iniţiativa primarului Municipiului Dej</w:t>
      </w:r>
      <w:r w:rsidR="002B7405" w:rsidRPr="006D5371">
        <w:rPr>
          <w:rFonts w:ascii="Tahoma" w:hAnsi="Tahoma" w:cs="Tahoma"/>
          <w:sz w:val="24"/>
          <w:szCs w:val="24"/>
        </w:rPr>
        <w:t xml:space="preserve">, întocmit în baza </w:t>
      </w:r>
      <w:r w:rsidR="007D1EAC" w:rsidRPr="006D5371">
        <w:rPr>
          <w:rFonts w:ascii="Tahoma" w:hAnsi="Tahoma" w:cs="Tahoma"/>
          <w:sz w:val="24"/>
          <w:szCs w:val="24"/>
        </w:rPr>
        <w:t>Raportul</w:t>
      </w:r>
      <w:r w:rsidR="006527F2" w:rsidRPr="006D5371">
        <w:rPr>
          <w:rFonts w:ascii="Tahoma" w:hAnsi="Tahoma" w:cs="Tahoma"/>
          <w:sz w:val="24"/>
          <w:szCs w:val="24"/>
        </w:rPr>
        <w:t>ui</w:t>
      </w:r>
      <w:r w:rsidR="007D1EAC" w:rsidRPr="006D5371">
        <w:rPr>
          <w:rFonts w:ascii="Tahoma" w:hAnsi="Tahoma" w:cs="Tahoma"/>
          <w:sz w:val="24"/>
          <w:szCs w:val="24"/>
        </w:rPr>
        <w:t xml:space="preserve"> Nr</w:t>
      </w:r>
      <w:r w:rsidR="00365878" w:rsidRPr="006D5371">
        <w:rPr>
          <w:rFonts w:ascii="Tahoma" w:hAnsi="Tahoma" w:cs="Tahoma"/>
          <w:sz w:val="24"/>
          <w:szCs w:val="24"/>
        </w:rPr>
        <w:t xml:space="preserve">. </w:t>
      </w:r>
      <w:r w:rsidR="004B6ACB" w:rsidRPr="004B6ACB">
        <w:rPr>
          <w:rFonts w:ascii="Tahoma" w:hAnsi="Tahoma" w:cs="Tahoma"/>
          <w:sz w:val="24"/>
          <w:szCs w:val="24"/>
          <w:lang w:val="ro-RO"/>
        </w:rPr>
        <w:t>1</w:t>
      </w:r>
      <w:r w:rsidR="004B6ACB">
        <w:rPr>
          <w:rFonts w:ascii="Tahoma" w:hAnsi="Tahoma" w:cs="Tahoma"/>
          <w:sz w:val="24"/>
          <w:szCs w:val="24"/>
          <w:lang w:val="ro-RO"/>
        </w:rPr>
        <w:t>.</w:t>
      </w:r>
      <w:r w:rsidR="004B6ACB" w:rsidRPr="004B6ACB">
        <w:rPr>
          <w:rFonts w:ascii="Tahoma" w:hAnsi="Tahoma" w:cs="Tahoma"/>
          <w:sz w:val="24"/>
          <w:szCs w:val="24"/>
          <w:lang w:val="ro-RO"/>
        </w:rPr>
        <w:t>100 din 19</w:t>
      </w:r>
      <w:r w:rsidR="004B6ACB">
        <w:rPr>
          <w:rFonts w:ascii="Tahoma" w:hAnsi="Tahoma" w:cs="Tahoma"/>
          <w:sz w:val="24"/>
          <w:szCs w:val="24"/>
          <w:lang w:val="ro-RO"/>
        </w:rPr>
        <w:t xml:space="preserve"> ianuarie </w:t>
      </w:r>
      <w:r w:rsidR="004B6ACB" w:rsidRPr="004B6ACB">
        <w:rPr>
          <w:rFonts w:ascii="Tahoma" w:hAnsi="Tahoma" w:cs="Tahoma"/>
          <w:sz w:val="24"/>
          <w:szCs w:val="24"/>
          <w:lang w:val="ro-RO"/>
        </w:rPr>
        <w:t>2013, al Serviciului de Urbanism şi Amenajarea Teritoriului</w:t>
      </w:r>
      <w:r w:rsidR="004B6ACB" w:rsidRPr="004B6ACB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4B6ACB" w:rsidRPr="004B6ACB">
        <w:rPr>
          <w:rFonts w:ascii="Tahoma" w:hAnsi="Tahoma" w:cs="Tahoma"/>
          <w:sz w:val="24"/>
          <w:szCs w:val="24"/>
          <w:lang w:val="ro-RO"/>
        </w:rPr>
        <w:t xml:space="preserve">prin care se propune atribuirea denumirii a două străzi, în </w:t>
      </w:r>
      <w:r w:rsidR="004B6ACB">
        <w:rPr>
          <w:rFonts w:ascii="Tahoma" w:hAnsi="Tahoma" w:cs="Tahoma"/>
          <w:sz w:val="24"/>
          <w:szCs w:val="24"/>
          <w:lang w:val="ro-RO"/>
        </w:rPr>
        <w:t>Municipiul</w:t>
      </w:r>
      <w:r w:rsidR="004B6ACB" w:rsidRPr="004B6ACB">
        <w:rPr>
          <w:rFonts w:ascii="Tahoma" w:hAnsi="Tahoma" w:cs="Tahoma"/>
          <w:sz w:val="24"/>
          <w:szCs w:val="24"/>
          <w:lang w:val="ro-RO"/>
        </w:rPr>
        <w:t xml:space="preserve"> Dej, Zona Industrială Sud, ca urmare a extinderii zonei industriale şi introducerii în intravilan a terenurilor din vecinatatea Parcului industrial „ARC PARC”, în vederea eliberării de Certificate de </w:t>
      </w:r>
      <w:r w:rsidR="004B6ACB">
        <w:rPr>
          <w:rFonts w:ascii="Tahoma" w:hAnsi="Tahoma" w:cs="Tahoma"/>
          <w:sz w:val="24"/>
          <w:szCs w:val="24"/>
          <w:lang w:val="ro-RO"/>
        </w:rPr>
        <w:t>nomenclatură stradală şi adresă, proiect avizat favorabil în ședința</w:t>
      </w:r>
      <w:r w:rsidR="003F345C">
        <w:rPr>
          <w:rFonts w:ascii="Tahoma" w:hAnsi="Tahoma" w:cs="Tahoma"/>
          <w:sz w:val="24"/>
          <w:szCs w:val="24"/>
          <w:lang w:val="ro-RO"/>
        </w:rPr>
        <w:t xml:space="preserve"> comisiei </w:t>
      </w:r>
      <w:r w:rsidR="004B6ACB">
        <w:rPr>
          <w:rFonts w:ascii="Tahoma" w:hAnsi="Tahoma" w:cs="Tahoma"/>
          <w:sz w:val="24"/>
          <w:szCs w:val="24"/>
          <w:lang w:val="ro-RO"/>
        </w:rPr>
        <w:t>de urbanism din data de 28 ianuarie 2013;</w:t>
      </w:r>
    </w:p>
    <w:p w:rsidR="006D5371" w:rsidRDefault="004B6ACB" w:rsidP="004B6ACB">
      <w:pPr>
        <w:pStyle w:val="Corptext"/>
        <w:spacing w:after="0"/>
        <w:ind w:firstLine="720"/>
        <w:jc w:val="both"/>
        <w:rPr>
          <w:rFonts w:ascii="Tahoma" w:hAnsi="Tahoma" w:cs="Tahoma"/>
          <w:color w:val="000000"/>
          <w:sz w:val="24"/>
          <w:szCs w:val="24"/>
          <w:lang w:val="ro-RO" w:eastAsia="ro-RO"/>
        </w:rPr>
      </w:pPr>
      <w:r w:rsidRPr="004B6ACB">
        <w:rPr>
          <w:rFonts w:ascii="Tahoma" w:hAnsi="Tahoma" w:cs="Tahoma"/>
          <w:color w:val="000000"/>
          <w:sz w:val="24"/>
          <w:szCs w:val="24"/>
          <w:lang w:val="ro-RO" w:eastAsia="ro-RO"/>
        </w:rPr>
        <w:t xml:space="preserve">În temeiul prevederilor </w:t>
      </w:r>
      <w:r w:rsidR="00926F5D">
        <w:rPr>
          <w:rFonts w:ascii="Tahoma" w:hAnsi="Tahoma" w:cs="Tahoma"/>
          <w:sz w:val="24"/>
          <w:szCs w:val="24"/>
          <w:lang w:val="ro-RO"/>
        </w:rPr>
        <w:t>`</w:t>
      </w:r>
      <w:r w:rsidRPr="004B6ACB">
        <w:rPr>
          <w:rFonts w:ascii="Tahoma" w:hAnsi="Tahoma" w:cs="Tahoma"/>
          <w:color w:val="000000"/>
          <w:sz w:val="24"/>
          <w:szCs w:val="24"/>
          <w:lang w:val="ro-RO" w:eastAsia="ro-RO"/>
        </w:rPr>
        <w:t>art. 36</w:t>
      </w:r>
      <w:r w:rsidR="00926F5D">
        <w:rPr>
          <w:rFonts w:ascii="Tahoma" w:hAnsi="Tahoma" w:cs="Tahoma"/>
          <w:sz w:val="24"/>
          <w:szCs w:val="24"/>
          <w:lang w:val="ro-RO"/>
        </w:rPr>
        <w:t>`</w:t>
      </w:r>
      <w:r>
        <w:rPr>
          <w:rFonts w:ascii="Tahoma" w:hAnsi="Tahoma" w:cs="Tahoma"/>
          <w:color w:val="000000"/>
          <w:sz w:val="24"/>
          <w:szCs w:val="24"/>
          <w:lang w:val="ro-RO" w:eastAsia="ro-RO"/>
        </w:rPr>
        <w:t xml:space="preserve">, </w:t>
      </w:r>
      <w:r w:rsidRPr="004B6ACB">
        <w:rPr>
          <w:rFonts w:ascii="Tahoma" w:hAnsi="Tahoma" w:cs="Tahoma"/>
          <w:color w:val="000000"/>
          <w:sz w:val="24"/>
          <w:szCs w:val="24"/>
          <w:lang w:val="ro-RO" w:eastAsia="ro-RO"/>
        </w:rPr>
        <w:t>alin. (5)</w:t>
      </w:r>
      <w:r>
        <w:rPr>
          <w:rFonts w:ascii="Tahoma" w:hAnsi="Tahoma" w:cs="Tahoma"/>
          <w:color w:val="000000"/>
          <w:sz w:val="24"/>
          <w:szCs w:val="24"/>
          <w:lang w:val="ro-RO" w:eastAsia="ro-RO"/>
        </w:rPr>
        <w:t>, lit.</w:t>
      </w:r>
      <w:r w:rsidRPr="004B6ACB">
        <w:rPr>
          <w:rFonts w:ascii="Tahoma" w:hAnsi="Tahoma" w:cs="Tahoma"/>
          <w:color w:val="000000"/>
          <w:sz w:val="24"/>
          <w:szCs w:val="24"/>
          <w:lang w:val="ro-RO" w:eastAsia="ro-RO"/>
        </w:rPr>
        <w:t xml:space="preserve"> d) şi </w:t>
      </w:r>
      <w:r w:rsidR="00926F5D">
        <w:rPr>
          <w:rFonts w:ascii="Tahoma" w:hAnsi="Tahoma" w:cs="Tahoma"/>
          <w:sz w:val="24"/>
          <w:szCs w:val="24"/>
          <w:lang w:val="ro-RO"/>
        </w:rPr>
        <w:t>`</w:t>
      </w:r>
      <w:r w:rsidRPr="004B6ACB">
        <w:rPr>
          <w:rFonts w:ascii="Tahoma" w:hAnsi="Tahoma" w:cs="Tahoma"/>
          <w:color w:val="000000"/>
          <w:sz w:val="24"/>
          <w:szCs w:val="24"/>
          <w:lang w:val="ro-RO" w:eastAsia="ro-RO"/>
        </w:rPr>
        <w:t>art. 45</w:t>
      </w:r>
      <w:r w:rsidR="00926F5D">
        <w:rPr>
          <w:rFonts w:ascii="Tahoma" w:hAnsi="Tahoma" w:cs="Tahoma"/>
          <w:sz w:val="24"/>
          <w:szCs w:val="24"/>
          <w:lang w:val="ro-RO"/>
        </w:rPr>
        <w:t>`</w:t>
      </w:r>
      <w:r w:rsidRPr="004B6ACB">
        <w:rPr>
          <w:rFonts w:ascii="Tahoma" w:hAnsi="Tahoma" w:cs="Tahoma"/>
          <w:color w:val="000000"/>
          <w:sz w:val="24"/>
          <w:szCs w:val="24"/>
          <w:lang w:val="ro-RO" w:eastAsia="ro-RO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lang w:val="ro-RO" w:eastAsia="ro-RO"/>
        </w:rPr>
        <w:t>din Legea N</w:t>
      </w:r>
      <w:r w:rsidRPr="004B6ACB">
        <w:rPr>
          <w:rFonts w:ascii="Tahoma" w:hAnsi="Tahoma" w:cs="Tahoma"/>
          <w:color w:val="000000"/>
          <w:sz w:val="24"/>
          <w:szCs w:val="24"/>
          <w:lang w:val="ro-RO" w:eastAsia="ro-RO"/>
        </w:rPr>
        <w:t>r. 215/2001 privind administraţia publică locală, republicată</w:t>
      </w:r>
      <w:r>
        <w:rPr>
          <w:rFonts w:ascii="Tahoma" w:hAnsi="Tahoma" w:cs="Tahoma"/>
          <w:color w:val="000000"/>
          <w:sz w:val="24"/>
          <w:szCs w:val="24"/>
          <w:lang w:val="ro-RO" w:eastAsia="ro-RO"/>
        </w:rPr>
        <w:t>, cu modificările și completările ulterioare,</w:t>
      </w:r>
    </w:p>
    <w:p w:rsidR="006759C5" w:rsidRPr="004B6ACB" w:rsidRDefault="006759C5" w:rsidP="004B6ACB">
      <w:pPr>
        <w:pStyle w:val="Corptext"/>
        <w:spacing w:after="0"/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:rsidR="006D5371" w:rsidRPr="006D5371" w:rsidRDefault="006D5371" w:rsidP="006D5371">
      <w:pPr>
        <w:ind w:firstLine="708"/>
        <w:contextualSpacing/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  <w:r w:rsidRPr="006D5371">
        <w:rPr>
          <w:rFonts w:ascii="Tahoma" w:hAnsi="Tahoma" w:cs="Tahoma"/>
          <w:b/>
          <w:sz w:val="24"/>
          <w:szCs w:val="24"/>
          <w:u w:val="single"/>
          <w:lang w:val="ro-RO"/>
        </w:rPr>
        <w:t>H O T Ă R Ă Ș T E:</w:t>
      </w:r>
    </w:p>
    <w:p w:rsidR="006D5371" w:rsidRPr="006D5371" w:rsidRDefault="006D5371" w:rsidP="006D5371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</w:p>
    <w:p w:rsidR="004B6ACB" w:rsidRPr="004B6ACB" w:rsidRDefault="006D5371" w:rsidP="004B6ACB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6D5371">
        <w:rPr>
          <w:rFonts w:ascii="Tahoma" w:hAnsi="Tahoma" w:cs="Tahoma"/>
          <w:b/>
          <w:bCs/>
          <w:sz w:val="24"/>
          <w:szCs w:val="24"/>
          <w:u w:val="single"/>
          <w:lang w:val="it-IT"/>
        </w:rPr>
        <w:t>Art. 1.</w:t>
      </w:r>
      <w:r w:rsidRPr="006D5371">
        <w:rPr>
          <w:rFonts w:ascii="Tahoma" w:hAnsi="Tahoma" w:cs="Tahoma"/>
          <w:b/>
          <w:bCs/>
          <w:sz w:val="24"/>
          <w:szCs w:val="24"/>
          <w:lang w:val="it-IT"/>
        </w:rPr>
        <w:t xml:space="preserve"> A</w:t>
      </w:r>
      <w:r w:rsidRPr="006D5371">
        <w:rPr>
          <w:rFonts w:ascii="Tahoma" w:hAnsi="Tahoma" w:cs="Tahoma"/>
          <w:b/>
          <w:bCs/>
          <w:sz w:val="24"/>
          <w:szCs w:val="24"/>
          <w:lang w:val="ro-RO"/>
        </w:rPr>
        <w:t>probă</w:t>
      </w:r>
      <w:r w:rsidRPr="006D5371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4B6ACB" w:rsidRPr="004B6ACB">
        <w:rPr>
          <w:rFonts w:ascii="Tahoma" w:hAnsi="Tahoma" w:cs="Tahoma"/>
          <w:color w:val="000000"/>
          <w:sz w:val="24"/>
          <w:szCs w:val="24"/>
          <w:lang w:val="ro-RO"/>
        </w:rPr>
        <w:t xml:space="preserve">atribuirea denumirii a două străzi în mun. Dej, </w:t>
      </w:r>
      <w:r w:rsidR="004B6ACB" w:rsidRPr="004B6ACB">
        <w:rPr>
          <w:rFonts w:ascii="Tahoma" w:hAnsi="Tahoma" w:cs="Tahoma"/>
          <w:sz w:val="24"/>
          <w:szCs w:val="24"/>
          <w:lang w:val="ro-RO"/>
        </w:rPr>
        <w:t>Zona Industrială Sud, conform planului de situaţie anexat:</w:t>
      </w:r>
    </w:p>
    <w:p w:rsidR="004B6ACB" w:rsidRPr="00926F5D" w:rsidRDefault="004B6ACB" w:rsidP="004B6ACB">
      <w:pPr>
        <w:numPr>
          <w:ilvl w:val="0"/>
          <w:numId w:val="30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926F5D">
        <w:rPr>
          <w:rFonts w:ascii="Tahoma" w:hAnsi="Tahoma" w:cs="Tahoma"/>
          <w:b/>
          <w:sz w:val="24"/>
          <w:szCs w:val="24"/>
          <w:lang w:val="ro-RO"/>
        </w:rPr>
        <w:t>Strada 1 – Traian Vuia</w:t>
      </w:r>
    </w:p>
    <w:p w:rsidR="004B6ACB" w:rsidRPr="00926F5D" w:rsidRDefault="004B6ACB" w:rsidP="004B6ACB">
      <w:pPr>
        <w:numPr>
          <w:ilvl w:val="0"/>
          <w:numId w:val="30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926F5D">
        <w:rPr>
          <w:rFonts w:ascii="Tahoma" w:hAnsi="Tahoma" w:cs="Tahoma"/>
          <w:b/>
          <w:sz w:val="24"/>
          <w:szCs w:val="24"/>
          <w:lang w:val="ro-RO"/>
        </w:rPr>
        <w:t>Strada 2 – Prof. ing. Leon Birbaum</w:t>
      </w:r>
    </w:p>
    <w:p w:rsidR="004B6ACB" w:rsidRPr="004B6ACB" w:rsidRDefault="004B6ACB" w:rsidP="004B6ACB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4B6ACB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2.</w:t>
      </w:r>
      <w:r w:rsidRPr="004B6ACB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Cu ducerea la îndeplinire </w:t>
      </w:r>
      <w:r w:rsidRPr="004B6ACB">
        <w:rPr>
          <w:rFonts w:ascii="Tahoma" w:hAnsi="Tahoma" w:cs="Tahoma"/>
          <w:color w:val="000000"/>
          <w:sz w:val="24"/>
          <w:szCs w:val="24"/>
          <w:lang w:val="ro-RO"/>
        </w:rPr>
        <w:t xml:space="preserve">a </w:t>
      </w:r>
      <w:r>
        <w:rPr>
          <w:rFonts w:ascii="Tahoma" w:hAnsi="Tahoma" w:cs="Tahoma"/>
          <w:color w:val="000000"/>
          <w:sz w:val="24"/>
          <w:szCs w:val="24"/>
          <w:lang w:val="ro-RO"/>
        </w:rPr>
        <w:t>prevederilor prezentei hotărâri</w:t>
      </w:r>
      <w:r w:rsidRPr="004B6ACB">
        <w:rPr>
          <w:rFonts w:ascii="Tahoma" w:hAnsi="Tahoma" w:cs="Tahoma"/>
          <w:color w:val="000000"/>
          <w:sz w:val="24"/>
          <w:szCs w:val="24"/>
          <w:lang w:val="ro-RO"/>
        </w:rPr>
        <w:t xml:space="preserve"> se  încredinţează </w:t>
      </w:r>
      <w:r>
        <w:rPr>
          <w:rFonts w:ascii="Tahoma" w:hAnsi="Tahoma" w:cs="Tahoma"/>
          <w:color w:val="000000"/>
          <w:sz w:val="24"/>
          <w:szCs w:val="24"/>
          <w:lang w:val="ro-RO"/>
        </w:rPr>
        <w:t>Primarul M</w:t>
      </w:r>
      <w:r w:rsidRPr="004B6ACB">
        <w:rPr>
          <w:rFonts w:ascii="Tahoma" w:hAnsi="Tahoma" w:cs="Tahoma"/>
          <w:color w:val="000000"/>
          <w:sz w:val="24"/>
          <w:szCs w:val="24"/>
          <w:lang w:val="ro-RO"/>
        </w:rPr>
        <w:t xml:space="preserve">unicipiului Dej prin Serviciul </w:t>
      </w:r>
      <w:r w:rsidRPr="004B6ACB">
        <w:rPr>
          <w:rFonts w:ascii="Tahoma" w:hAnsi="Tahoma" w:cs="Tahoma"/>
          <w:sz w:val="24"/>
          <w:szCs w:val="24"/>
          <w:lang w:val="ro-RO"/>
        </w:rPr>
        <w:t>de Urbanism şi Amenajarea Teritoriului</w:t>
      </w:r>
      <w:r w:rsidRPr="004B6ACB">
        <w:rPr>
          <w:rFonts w:ascii="Tahoma" w:hAnsi="Tahoma" w:cs="Tahoma"/>
          <w:color w:val="000000"/>
          <w:sz w:val="24"/>
          <w:szCs w:val="24"/>
          <w:lang w:val="ro-RO"/>
        </w:rPr>
        <w:t xml:space="preserve"> din cadrul  </w:t>
      </w:r>
      <w:r>
        <w:rPr>
          <w:rFonts w:ascii="Tahoma" w:hAnsi="Tahoma" w:cs="Tahoma"/>
          <w:color w:val="000000"/>
          <w:sz w:val="24"/>
          <w:szCs w:val="24"/>
          <w:lang w:val="ro-RO"/>
        </w:rPr>
        <w:t>Primăriei M</w:t>
      </w:r>
      <w:r w:rsidRPr="004B6ACB">
        <w:rPr>
          <w:rFonts w:ascii="Tahoma" w:hAnsi="Tahoma" w:cs="Tahoma"/>
          <w:color w:val="000000"/>
          <w:sz w:val="24"/>
          <w:szCs w:val="24"/>
          <w:lang w:val="ro-RO"/>
        </w:rPr>
        <w:t>unicipiului Dej.</w:t>
      </w:r>
    </w:p>
    <w:p w:rsidR="004B6ACB" w:rsidRPr="004B6ACB" w:rsidRDefault="004B6ACB" w:rsidP="004B6ACB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:rsidR="006D5371" w:rsidRPr="004B6ACB" w:rsidRDefault="006D5371" w:rsidP="004B6ACB">
      <w:pPr>
        <w:ind w:firstLine="708"/>
        <w:jc w:val="both"/>
        <w:rPr>
          <w:rFonts w:ascii="Tahoma" w:hAnsi="Tahoma" w:cs="Tahoma"/>
          <w:sz w:val="24"/>
          <w:szCs w:val="24"/>
          <w:lang w:val="it-IT"/>
        </w:rPr>
      </w:pPr>
    </w:p>
    <w:p w:rsidR="006D5371" w:rsidRPr="004B6ACB" w:rsidRDefault="006D5371" w:rsidP="004B6ACB">
      <w:pPr>
        <w:ind w:firstLine="708"/>
        <w:jc w:val="both"/>
        <w:rPr>
          <w:rFonts w:ascii="Tahoma" w:hAnsi="Tahoma" w:cs="Tahoma"/>
          <w:sz w:val="24"/>
          <w:szCs w:val="24"/>
          <w:lang w:val="it-IT"/>
        </w:rPr>
      </w:pPr>
    </w:p>
    <w:p w:rsidR="00D34866" w:rsidRPr="006D5371" w:rsidRDefault="00D34866" w:rsidP="00D34866">
      <w:pPr>
        <w:ind w:right="340"/>
        <w:jc w:val="center"/>
        <w:rPr>
          <w:rFonts w:ascii="Tahoma" w:hAnsi="Tahoma" w:cs="Tahoma"/>
          <w:b/>
          <w:sz w:val="24"/>
          <w:szCs w:val="24"/>
        </w:rPr>
      </w:pPr>
      <w:r w:rsidRPr="006D5371">
        <w:rPr>
          <w:rFonts w:ascii="Tahoma" w:hAnsi="Tahoma" w:cs="Tahoma"/>
          <w:b/>
          <w:sz w:val="24"/>
          <w:szCs w:val="24"/>
        </w:rPr>
        <w:t>Președinte de ședință,</w:t>
      </w:r>
    </w:p>
    <w:p w:rsidR="001D4798" w:rsidRPr="006D5371" w:rsidRDefault="00871341" w:rsidP="00D34866">
      <w:pPr>
        <w:ind w:right="340"/>
        <w:jc w:val="center"/>
        <w:rPr>
          <w:rFonts w:ascii="Tahoma" w:hAnsi="Tahoma" w:cs="Tahoma"/>
          <w:b/>
          <w:sz w:val="24"/>
          <w:szCs w:val="24"/>
        </w:rPr>
      </w:pPr>
      <w:r w:rsidRPr="006D5371">
        <w:rPr>
          <w:rFonts w:ascii="Tahoma" w:hAnsi="Tahoma" w:cs="Tahoma"/>
          <w:b/>
          <w:sz w:val="24"/>
          <w:szCs w:val="24"/>
        </w:rPr>
        <w:t>Bonta Dan Silviu</w:t>
      </w:r>
    </w:p>
    <w:p w:rsidR="001D4798" w:rsidRDefault="001D4798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362FCE" w:rsidRPr="009F4043" w:rsidRDefault="00362FCE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9F4043" w:rsidRPr="009F4043" w:rsidRDefault="009F4043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 xml:space="preserve">Nr. consilieri în funcţie -  </w:t>
      </w:r>
      <w:r>
        <w:rPr>
          <w:rFonts w:ascii="Tahoma" w:hAnsi="Tahoma" w:cs="Tahoma"/>
          <w:b/>
        </w:rPr>
        <w:t>19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 xml:space="preserve">Nr. consilieri prezenţi   - </w:t>
      </w:r>
      <w:r w:rsidR="009A2CE8">
        <w:rPr>
          <w:rFonts w:ascii="Tahoma" w:hAnsi="Tahoma" w:cs="Tahoma"/>
          <w:b/>
        </w:rPr>
        <w:t xml:space="preserve"> 1</w:t>
      </w:r>
      <w:r w:rsidR="006E500E">
        <w:rPr>
          <w:rFonts w:ascii="Tahoma" w:hAnsi="Tahoma" w:cs="Tahoma"/>
          <w:b/>
        </w:rPr>
        <w:t>8</w:t>
      </w:r>
      <w:r w:rsidRPr="009F4043">
        <w:rPr>
          <w:rFonts w:ascii="Tahoma" w:hAnsi="Tahoma" w:cs="Tahoma"/>
          <w:b/>
        </w:rPr>
        <w:t xml:space="preserve">  </w:t>
      </w:r>
    </w:p>
    <w:p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>Nr. voturi pentru</w:t>
      </w:r>
      <w:r w:rsidRPr="009F4043">
        <w:rPr>
          <w:rFonts w:ascii="Tahoma" w:hAnsi="Tahoma" w:cs="Tahoma"/>
          <w:b/>
        </w:rPr>
        <w:tab/>
        <w:t xml:space="preserve">   - </w:t>
      </w:r>
      <w:r w:rsidR="00CB4608">
        <w:rPr>
          <w:rFonts w:ascii="Tahoma" w:hAnsi="Tahoma" w:cs="Tahoma"/>
          <w:b/>
        </w:rPr>
        <w:t xml:space="preserve"> </w:t>
      </w:r>
      <w:r w:rsidR="009A2CE8">
        <w:rPr>
          <w:rFonts w:ascii="Tahoma" w:hAnsi="Tahoma" w:cs="Tahoma"/>
          <w:b/>
        </w:rPr>
        <w:t>1</w:t>
      </w:r>
      <w:r w:rsidR="00926F5D">
        <w:rPr>
          <w:rFonts w:ascii="Tahoma" w:hAnsi="Tahoma" w:cs="Tahoma"/>
          <w:b/>
        </w:rPr>
        <w:t>8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Nr. voturi împotrivă</w:t>
      </w:r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:rsidR="00C92E41" w:rsidRPr="009F4043" w:rsidRDefault="009F4043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Covaciu Andron</w:t>
      </w:r>
    </w:p>
    <w:sectPr w:rsidR="00C92E41" w:rsidRPr="009F4043" w:rsidSect="00B569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C20" w:rsidRDefault="009C6C20" w:rsidP="009C6C20">
      <w:r>
        <w:separator/>
      </w:r>
    </w:p>
  </w:endnote>
  <w:endnote w:type="continuationSeparator" w:id="0">
    <w:p w:rsidR="009C6C20" w:rsidRDefault="009C6C20" w:rsidP="009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C20" w:rsidRDefault="009C6C20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C20" w:rsidRDefault="009C6C20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C20" w:rsidRDefault="009C6C20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C20" w:rsidRDefault="009C6C20" w:rsidP="009C6C20">
      <w:r>
        <w:separator/>
      </w:r>
    </w:p>
  </w:footnote>
  <w:footnote w:type="continuationSeparator" w:id="0">
    <w:p w:rsidR="009C6C20" w:rsidRDefault="009C6C20" w:rsidP="009C6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C20" w:rsidRDefault="009C6C20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C20" w:rsidRDefault="009C6C20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C20" w:rsidRDefault="009C6C20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77A90"/>
    <w:multiLevelType w:val="hybridMultilevel"/>
    <w:tmpl w:val="EB6AF72E"/>
    <w:lvl w:ilvl="0" w:tplc="38CAF13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3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AB4F9E"/>
    <w:multiLevelType w:val="hybridMultilevel"/>
    <w:tmpl w:val="12E0712C"/>
    <w:lvl w:ilvl="0" w:tplc="35520D5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5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18"/>
  </w:num>
  <w:num w:numId="4">
    <w:abstractNumId w:val="21"/>
  </w:num>
  <w:num w:numId="5">
    <w:abstractNumId w:val="19"/>
  </w:num>
  <w:num w:numId="6">
    <w:abstractNumId w:val="14"/>
  </w:num>
  <w:num w:numId="7">
    <w:abstractNumId w:val="16"/>
  </w:num>
  <w:num w:numId="8">
    <w:abstractNumId w:val="20"/>
  </w:num>
  <w:num w:numId="9">
    <w:abstractNumId w:val="13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2"/>
  </w:num>
  <w:num w:numId="12">
    <w:abstractNumId w:val="5"/>
  </w:num>
  <w:num w:numId="13">
    <w:abstractNumId w:val="25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28"/>
  </w:num>
  <w:num w:numId="19">
    <w:abstractNumId w:val="15"/>
  </w:num>
  <w:num w:numId="20">
    <w:abstractNumId w:val="17"/>
  </w:num>
  <w:num w:numId="21">
    <w:abstractNumId w:val="2"/>
  </w:num>
  <w:num w:numId="22">
    <w:abstractNumId w:val="24"/>
  </w:num>
  <w:num w:numId="23">
    <w:abstractNumId w:val="29"/>
  </w:num>
  <w:num w:numId="24">
    <w:abstractNumId w:val="12"/>
  </w:num>
  <w:num w:numId="25">
    <w:abstractNumId w:val="11"/>
  </w:num>
  <w:num w:numId="26">
    <w:abstractNumId w:val="9"/>
  </w:num>
  <w:num w:numId="27">
    <w:abstractNumId w:val="3"/>
  </w:num>
  <w:num w:numId="28">
    <w:abstractNumId w:val="1"/>
  </w:num>
  <w:num w:numId="29">
    <w:abstractNumId w:val="2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42BA"/>
    <w:rsid w:val="00066A73"/>
    <w:rsid w:val="00071E6E"/>
    <w:rsid w:val="00096259"/>
    <w:rsid w:val="000A26F0"/>
    <w:rsid w:val="000B7893"/>
    <w:rsid w:val="000C35B0"/>
    <w:rsid w:val="000D0B0D"/>
    <w:rsid w:val="000F713C"/>
    <w:rsid w:val="00113174"/>
    <w:rsid w:val="0011470C"/>
    <w:rsid w:val="001258E5"/>
    <w:rsid w:val="001525DB"/>
    <w:rsid w:val="00154A03"/>
    <w:rsid w:val="00160823"/>
    <w:rsid w:val="001643A7"/>
    <w:rsid w:val="00187084"/>
    <w:rsid w:val="001A791D"/>
    <w:rsid w:val="001B1153"/>
    <w:rsid w:val="001D4798"/>
    <w:rsid w:val="001E31D6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71715"/>
    <w:rsid w:val="00286A50"/>
    <w:rsid w:val="002A3C2E"/>
    <w:rsid w:val="002A4D82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6050E"/>
    <w:rsid w:val="00361D44"/>
    <w:rsid w:val="00362FCE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5CE6"/>
    <w:rsid w:val="003F345C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B6ACB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6A01"/>
    <w:rsid w:val="00576953"/>
    <w:rsid w:val="00577510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61492A"/>
    <w:rsid w:val="006256C9"/>
    <w:rsid w:val="00636F0E"/>
    <w:rsid w:val="006477B1"/>
    <w:rsid w:val="006527F2"/>
    <w:rsid w:val="006665FB"/>
    <w:rsid w:val="0067225D"/>
    <w:rsid w:val="00674040"/>
    <w:rsid w:val="006759C5"/>
    <w:rsid w:val="00683455"/>
    <w:rsid w:val="006C5DA4"/>
    <w:rsid w:val="006D5371"/>
    <w:rsid w:val="006D6037"/>
    <w:rsid w:val="006E500E"/>
    <w:rsid w:val="006F2236"/>
    <w:rsid w:val="0070305B"/>
    <w:rsid w:val="00733C0D"/>
    <w:rsid w:val="00735509"/>
    <w:rsid w:val="00736875"/>
    <w:rsid w:val="007546E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34291"/>
    <w:rsid w:val="0084007A"/>
    <w:rsid w:val="008407C9"/>
    <w:rsid w:val="00841055"/>
    <w:rsid w:val="00846CDF"/>
    <w:rsid w:val="008477D6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26F5D"/>
    <w:rsid w:val="00935032"/>
    <w:rsid w:val="00964912"/>
    <w:rsid w:val="00966F72"/>
    <w:rsid w:val="00996EEF"/>
    <w:rsid w:val="009A2CE8"/>
    <w:rsid w:val="009C46E5"/>
    <w:rsid w:val="009C6C20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378B6"/>
    <w:rsid w:val="00A44B32"/>
    <w:rsid w:val="00A45CDF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32A0"/>
    <w:rsid w:val="00AD26C5"/>
    <w:rsid w:val="00AE3AAD"/>
    <w:rsid w:val="00AE6666"/>
    <w:rsid w:val="00AE71A1"/>
    <w:rsid w:val="00AF2426"/>
    <w:rsid w:val="00AF5BE1"/>
    <w:rsid w:val="00B10CB6"/>
    <w:rsid w:val="00B14440"/>
    <w:rsid w:val="00B44CD3"/>
    <w:rsid w:val="00B47666"/>
    <w:rsid w:val="00B53B4F"/>
    <w:rsid w:val="00B569C2"/>
    <w:rsid w:val="00B7219B"/>
    <w:rsid w:val="00B74644"/>
    <w:rsid w:val="00B945D5"/>
    <w:rsid w:val="00B96510"/>
    <w:rsid w:val="00BA78AB"/>
    <w:rsid w:val="00BC149A"/>
    <w:rsid w:val="00BC5524"/>
    <w:rsid w:val="00BD136D"/>
    <w:rsid w:val="00BE2A91"/>
    <w:rsid w:val="00BF606A"/>
    <w:rsid w:val="00C15EBA"/>
    <w:rsid w:val="00C24149"/>
    <w:rsid w:val="00C278F0"/>
    <w:rsid w:val="00C31A1F"/>
    <w:rsid w:val="00C32295"/>
    <w:rsid w:val="00C364A2"/>
    <w:rsid w:val="00C64BC2"/>
    <w:rsid w:val="00C7334C"/>
    <w:rsid w:val="00C763CB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34592"/>
    <w:rsid w:val="00D34866"/>
    <w:rsid w:val="00D36C05"/>
    <w:rsid w:val="00D51517"/>
    <w:rsid w:val="00D522E6"/>
    <w:rsid w:val="00D605FA"/>
    <w:rsid w:val="00D63F39"/>
    <w:rsid w:val="00D71002"/>
    <w:rsid w:val="00D719E1"/>
    <w:rsid w:val="00D93825"/>
    <w:rsid w:val="00DB78E1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56A0"/>
    <w:rsid w:val="00EA7E31"/>
    <w:rsid w:val="00EB743B"/>
    <w:rsid w:val="00EC4A14"/>
    <w:rsid w:val="00EC52F6"/>
    <w:rsid w:val="00EC6F88"/>
    <w:rsid w:val="00ED5161"/>
    <w:rsid w:val="00EE5641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1E59"/>
    <w:rsid w:val="00F9481A"/>
    <w:rsid w:val="00FB6F7C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Subsol">
    <w:name w:val="footer"/>
    <w:basedOn w:val="Normal"/>
    <w:link w:val="SubsolCaracter"/>
    <w:rsid w:val="009C6C20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9C6C2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maria@dej.r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2013-11-13T09:17:00Z</dcterms:created>
  <dcterms:modified xsi:type="dcterms:W3CDTF">2013-11-13T09:17:00Z</dcterms:modified>
</cp:coreProperties>
</file>