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6C6AE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9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1A20A2">
        <w:rPr>
          <w:rFonts w:ascii="Tahoma" w:hAnsi="Tahoma" w:cs="Tahoma"/>
          <w:sz w:val="24"/>
          <w:szCs w:val="24"/>
          <w:u w:val="single"/>
          <w:lang w:val="fr-FR"/>
        </w:rPr>
        <w:t>1</w:t>
      </w:r>
      <w:r w:rsidR="001906ED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91E59">
        <w:rPr>
          <w:rFonts w:ascii="Tahoma" w:hAnsi="Tahoma" w:cs="Tahoma"/>
          <w:b/>
          <w:sz w:val="24"/>
          <w:szCs w:val="24"/>
          <w:lang w:val="fr-FR"/>
        </w:rPr>
        <w:t>29</w:t>
      </w:r>
      <w:r w:rsidR="00C91DA3">
        <w:rPr>
          <w:rFonts w:ascii="Tahoma" w:hAnsi="Tahoma" w:cs="Tahoma"/>
          <w:b/>
          <w:sz w:val="24"/>
          <w:szCs w:val="24"/>
          <w:lang w:val="fr-FR"/>
        </w:rPr>
        <w:t xml:space="preserve"> ianuarie 2013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1906ED" w:rsidRDefault="009F4043" w:rsidP="001906E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2C6B46">
        <w:rPr>
          <w:rFonts w:ascii="Tahoma" w:hAnsi="Tahoma" w:cs="Tahoma"/>
          <w:b/>
          <w:sz w:val="24"/>
          <w:szCs w:val="24"/>
        </w:rPr>
        <w:t xml:space="preserve"> 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parcelarea terenului în suprafaţă de 474 m</w:t>
      </w:r>
      <w:r w:rsidR="001906ED">
        <w:rPr>
          <w:rFonts w:ascii="Tahoma" w:hAnsi="Tahoma" w:cs="Tahoma"/>
          <w:b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p</w:t>
      </w:r>
      <w:r w:rsidR="001906ED">
        <w:rPr>
          <w:rFonts w:ascii="Tahoma" w:hAnsi="Tahoma" w:cs="Tahoma"/>
          <w:b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, situat în</w:t>
      </w:r>
      <w:r w:rsidR="001906ED">
        <w:rPr>
          <w:rFonts w:ascii="Tahoma" w:hAnsi="Tahoma" w:cs="Tahoma"/>
          <w:b/>
          <w:sz w:val="24"/>
          <w:szCs w:val="24"/>
          <w:lang w:val="ro-RO"/>
        </w:rPr>
        <w:t xml:space="preserve"> Municipiului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 xml:space="preserve"> Dej, </w:t>
      </w:r>
      <w:r w:rsidR="001906ED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 xml:space="preserve">Victoriei, </w:t>
      </w:r>
      <w:r w:rsidR="001906ED">
        <w:rPr>
          <w:rFonts w:ascii="Tahoma" w:hAnsi="Tahoma" w:cs="Tahoma"/>
          <w:b/>
          <w:sz w:val="24"/>
          <w:szCs w:val="24"/>
          <w:lang w:val="ro-RO"/>
        </w:rPr>
        <w:t>N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r. 1, înscris în C</w:t>
      </w:r>
      <w:r w:rsidR="001906ED">
        <w:rPr>
          <w:rFonts w:ascii="Tahoma" w:hAnsi="Tahoma" w:cs="Tahoma"/>
          <w:b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F</w:t>
      </w:r>
      <w:r w:rsidR="001906ED">
        <w:rPr>
          <w:rFonts w:ascii="Tahoma" w:hAnsi="Tahoma" w:cs="Tahoma"/>
          <w:b/>
          <w:sz w:val="24"/>
          <w:szCs w:val="24"/>
          <w:lang w:val="ro-RO"/>
        </w:rPr>
        <w:t>. Dej Nr. 53857 cu N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r. cadastral 53857 în două parcele şi concesionarea prin licitaţie publică a parcelei 2, în suprafaţă de 60 m</w:t>
      </w:r>
      <w:r w:rsidR="001906ED">
        <w:rPr>
          <w:rFonts w:ascii="Tahoma" w:hAnsi="Tahoma" w:cs="Tahoma"/>
          <w:b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>p</w:t>
      </w:r>
      <w:r w:rsidR="001906ED">
        <w:rPr>
          <w:rFonts w:ascii="Tahoma" w:hAnsi="Tahoma" w:cs="Tahoma"/>
          <w:b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b/>
          <w:sz w:val="24"/>
          <w:szCs w:val="24"/>
          <w:lang w:val="ro-RO"/>
        </w:rPr>
        <w:t xml:space="preserve"> pe care este construit unui spaţiu comercial</w:t>
      </w:r>
    </w:p>
    <w:p w:rsidR="001C43DF" w:rsidRPr="001906ED" w:rsidRDefault="001C43DF" w:rsidP="001906ED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F91E59">
        <w:rPr>
          <w:rFonts w:ascii="Tahoma" w:hAnsi="Tahoma" w:cs="Tahoma"/>
          <w:sz w:val="24"/>
          <w:szCs w:val="24"/>
          <w:lang w:val="ro-RO"/>
        </w:rPr>
        <w:t>29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ianuarie 2013;</w:t>
      </w:r>
    </w:p>
    <w:p w:rsidR="001906ED" w:rsidRPr="001906ED" w:rsidRDefault="00791CF5" w:rsidP="001906ED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1A20A2">
        <w:rPr>
          <w:rFonts w:ascii="Tahoma" w:hAnsi="Tahoma" w:cs="Tahoma"/>
          <w:sz w:val="24"/>
          <w:szCs w:val="24"/>
        </w:rPr>
        <w:t xml:space="preserve">. </w:t>
      </w:r>
      <w:r w:rsidR="001906ED">
        <w:rPr>
          <w:rFonts w:ascii="Tahoma" w:hAnsi="Tahoma" w:cs="Tahoma"/>
          <w:sz w:val="24"/>
          <w:szCs w:val="24"/>
          <w:lang w:val="ro-RO"/>
        </w:rPr>
        <w:t>1.098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1906ED">
        <w:rPr>
          <w:rFonts w:ascii="Tahoma" w:hAnsi="Tahoma" w:cs="Tahoma"/>
          <w:sz w:val="24"/>
          <w:szCs w:val="24"/>
          <w:lang w:val="ro-RO"/>
        </w:rPr>
        <w:t xml:space="preserve">19 ianuarie 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2013, al Serviciului de Urbanism şi Amenajarea Teritoriului</w:t>
      </w:r>
      <w:r w:rsidR="001906ED"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1906ED" w:rsidRPr="001906ED">
        <w:rPr>
          <w:rFonts w:ascii="Tahoma" w:hAnsi="Tahoma" w:cs="Tahoma"/>
          <w:sz w:val="24"/>
          <w:szCs w:val="24"/>
          <w:lang w:val="fr-FR"/>
        </w:rPr>
        <w:t xml:space="preserve">aprobarea 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parcelarii terenului situat în Municipiului Dej, Strada Victoriei, Nr. 1, înscris în C.F</w:t>
      </w:r>
      <w:r w:rsidR="001906ED">
        <w:rPr>
          <w:rFonts w:ascii="Tahoma" w:hAnsi="Tahoma" w:cs="Tahoma"/>
          <w:sz w:val="24"/>
          <w:szCs w:val="24"/>
          <w:lang w:val="ro-RO"/>
        </w:rPr>
        <w:t>. Dej N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r. 53857 (provenită din conversia de pe hârtie a C</w:t>
      </w:r>
      <w:r w:rsidR="001906ED">
        <w:rPr>
          <w:rFonts w:ascii="Tahoma" w:hAnsi="Tahoma" w:cs="Tahoma"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F</w:t>
      </w:r>
      <w:r w:rsidR="001906ED">
        <w:rPr>
          <w:rFonts w:ascii="Tahoma" w:hAnsi="Tahoma" w:cs="Tahoma"/>
          <w:sz w:val="24"/>
          <w:szCs w:val="24"/>
          <w:lang w:val="ro-RO"/>
        </w:rPr>
        <w:t>. N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 xml:space="preserve">r. 4338 DEJ) </w:t>
      </w:r>
      <w:r w:rsidR="001906ED">
        <w:rPr>
          <w:rFonts w:ascii="Tahoma" w:hAnsi="Tahoma" w:cs="Tahoma"/>
          <w:sz w:val="24"/>
          <w:szCs w:val="24"/>
          <w:lang w:val="ro-RO"/>
        </w:rPr>
        <w:t>cu N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r. cadastral 53857 în suprafaţă totală de 474 m</w:t>
      </w:r>
      <w:r w:rsidR="001906ED">
        <w:rPr>
          <w:rFonts w:ascii="Tahoma" w:hAnsi="Tahoma" w:cs="Tahoma"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p</w:t>
      </w:r>
      <w:r w:rsidR="001906ED">
        <w:rPr>
          <w:rFonts w:ascii="Tahoma" w:hAnsi="Tahoma" w:cs="Tahoma"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, în două parcele şi concesionarea prin licitaţie publică a parcelei 2, în suprafaţă de 60 m</w:t>
      </w:r>
      <w:r w:rsidR="001906ED">
        <w:rPr>
          <w:rFonts w:ascii="Tahoma" w:hAnsi="Tahoma" w:cs="Tahoma"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>p</w:t>
      </w:r>
      <w:r w:rsidR="001906ED">
        <w:rPr>
          <w:rFonts w:ascii="Tahoma" w:hAnsi="Tahoma" w:cs="Tahoma"/>
          <w:sz w:val="24"/>
          <w:szCs w:val="24"/>
          <w:lang w:val="ro-RO"/>
        </w:rPr>
        <w:t>.</w:t>
      </w:r>
      <w:r w:rsidR="001906ED" w:rsidRPr="001906ED">
        <w:rPr>
          <w:rFonts w:ascii="Tahoma" w:hAnsi="Tahoma" w:cs="Tahoma"/>
          <w:sz w:val="24"/>
          <w:szCs w:val="24"/>
          <w:lang w:val="ro-RO"/>
        </w:rPr>
        <w:t xml:space="preserve"> pe care este edificat un Spaţiu comercial precum şi a </w:t>
      </w:r>
      <w:r w:rsidR="001906ED">
        <w:rPr>
          <w:rFonts w:ascii="Tahoma" w:hAnsi="Tahoma" w:cs="Tahoma"/>
          <w:sz w:val="24"/>
          <w:szCs w:val="24"/>
          <w:lang w:val="fr-FR"/>
        </w:rPr>
        <w:t>Caietului  de sarcini (Anexa N</w:t>
      </w:r>
      <w:r w:rsidR="001906ED" w:rsidRPr="001906ED">
        <w:rPr>
          <w:rFonts w:ascii="Tahoma" w:hAnsi="Tahoma" w:cs="Tahoma"/>
          <w:sz w:val="24"/>
          <w:szCs w:val="24"/>
          <w:lang w:val="fr-FR"/>
        </w:rPr>
        <w:t xml:space="preserve">r. 1), a Instrucţiunilor pentru ofertanţi, precum şi </w:t>
      </w:r>
      <w:r w:rsidR="0099070B">
        <w:rPr>
          <w:rFonts w:ascii="Tahoma" w:hAnsi="Tahoma" w:cs="Tahoma"/>
          <w:sz w:val="24"/>
          <w:szCs w:val="24"/>
          <w:lang w:val="fr-FR"/>
        </w:rPr>
        <w:t>constituirea comisiei de licitaț</w:t>
      </w:r>
      <w:r w:rsidR="001906ED" w:rsidRPr="001906ED">
        <w:rPr>
          <w:rFonts w:ascii="Tahoma" w:hAnsi="Tahoma" w:cs="Tahoma"/>
          <w:sz w:val="24"/>
          <w:szCs w:val="24"/>
          <w:lang w:val="fr-FR"/>
        </w:rPr>
        <w:t>ie şi a comisiei de soluţionare a contestaţiilor</w:t>
      </w:r>
      <w:r w:rsidR="0099070B">
        <w:rPr>
          <w:rFonts w:ascii="Tahoma" w:hAnsi="Tahoma" w:cs="Tahoma"/>
          <w:sz w:val="24"/>
          <w:szCs w:val="24"/>
          <w:lang w:val="fr-FR"/>
        </w:rPr>
        <w:t>,  proiect avizat favorabil în ședința de lucru a comisiei de urbanism și a comisiei economice din data de 28 ianuarie 2013.</w:t>
      </w:r>
    </w:p>
    <w:p w:rsidR="001906ED" w:rsidRDefault="001906ED" w:rsidP="00F91E59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În temeiul prevederilor</w:t>
      </w:r>
      <w:r w:rsidR="0099070B" w:rsidRPr="0099070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>Ordonanței de Urgență a Guvernului N</w:t>
      </w:r>
      <w:r w:rsidR="0099070B" w:rsidRPr="001A20A2">
        <w:rPr>
          <w:rFonts w:ascii="Tahoma" w:hAnsi="Tahoma" w:cs="Tahoma"/>
          <w:color w:val="000000"/>
          <w:sz w:val="24"/>
          <w:szCs w:val="24"/>
          <w:lang w:val="ro-RO"/>
        </w:rPr>
        <w:t>r. 54/28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 xml:space="preserve"> iunie 2006 şi Hotărârea Guvernului N</w:t>
      </w:r>
      <w:r w:rsidR="0099070B" w:rsidRPr="001A20A2">
        <w:rPr>
          <w:rFonts w:ascii="Tahoma" w:hAnsi="Tahoma" w:cs="Tahoma"/>
          <w:color w:val="000000"/>
          <w:sz w:val="24"/>
          <w:szCs w:val="24"/>
          <w:lang w:val="ro-RO"/>
        </w:rPr>
        <w:t>r. 168/14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 xml:space="preserve"> februarie </w:t>
      </w:r>
      <w:r w:rsidR="0099070B" w:rsidRPr="001A20A2">
        <w:rPr>
          <w:rFonts w:ascii="Tahoma" w:hAnsi="Tahoma" w:cs="Tahoma"/>
          <w:color w:val="000000"/>
          <w:sz w:val="24"/>
          <w:szCs w:val="24"/>
          <w:lang w:val="ro-RO"/>
        </w:rPr>
        <w:t>2007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 xml:space="preserve"> și 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alin. (2)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 lit.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c), 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alin. (5), lit. a)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alin. (3) şi 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art. 123</w:t>
      </w:r>
      <w:r w:rsidR="001C43DF">
        <w:rPr>
          <w:rFonts w:ascii="Tahoma" w:hAnsi="Tahoma" w:cs="Tahoma"/>
          <w:sz w:val="24"/>
          <w:szCs w:val="24"/>
          <w:lang w:val="ro-RO"/>
        </w:rPr>
        <w:t>`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alin. (1) şi alin. (2) </w:t>
      </w:r>
      <w:r>
        <w:rPr>
          <w:rFonts w:ascii="Tahoma" w:hAnsi="Tahoma" w:cs="Tahoma"/>
          <w:color w:val="000000"/>
          <w:sz w:val="24"/>
          <w:szCs w:val="24"/>
          <w:lang w:val="ro-RO"/>
        </w:rPr>
        <w:t>din Legea N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r. 215/2001 privind administraţia publică locală, republicată,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cu modificările și completările ulterioare, </w:t>
      </w:r>
    </w:p>
    <w:p w:rsidR="0099070B" w:rsidRPr="001906ED" w:rsidRDefault="0099070B" w:rsidP="00F91E59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1906ED" w:rsidRPr="001906ED" w:rsidRDefault="00C91DA3" w:rsidP="001906ED">
      <w:pPr>
        <w:pStyle w:val="Corptext"/>
        <w:ind w:firstLine="720"/>
        <w:jc w:val="both"/>
        <w:rPr>
          <w:rFonts w:ascii="Tahoma" w:hAnsi="Tahoma" w:cs="Tahoma"/>
          <w:sz w:val="24"/>
          <w:szCs w:val="24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–</w:t>
      </w:r>
      <w:r w:rsidR="006E500E"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6E500E"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="006E500E" w:rsidRPr="001A20A2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1906ED" w:rsidRPr="001906ED">
        <w:rPr>
          <w:rFonts w:ascii="Tahoma" w:hAnsi="Tahoma" w:cs="Tahoma"/>
          <w:sz w:val="24"/>
          <w:szCs w:val="24"/>
        </w:rPr>
        <w:t>parcelarea terenului înscris în C.F</w:t>
      </w:r>
      <w:r w:rsidR="001906ED">
        <w:rPr>
          <w:rFonts w:ascii="Tahoma" w:hAnsi="Tahoma" w:cs="Tahoma"/>
          <w:sz w:val="24"/>
          <w:szCs w:val="24"/>
        </w:rPr>
        <w:t>. Dej N</w:t>
      </w:r>
      <w:r w:rsidR="001906ED" w:rsidRPr="001906ED">
        <w:rPr>
          <w:rFonts w:ascii="Tahoma" w:hAnsi="Tahoma" w:cs="Tahoma"/>
          <w:sz w:val="24"/>
          <w:szCs w:val="24"/>
        </w:rPr>
        <w:t>r. 53857 (provenită din conversia de pe hârtie a C</w:t>
      </w:r>
      <w:r w:rsidR="001906ED">
        <w:rPr>
          <w:rFonts w:ascii="Tahoma" w:hAnsi="Tahoma" w:cs="Tahoma"/>
          <w:sz w:val="24"/>
          <w:szCs w:val="24"/>
        </w:rPr>
        <w:t>.</w:t>
      </w:r>
      <w:r w:rsidR="001906ED" w:rsidRPr="001906ED">
        <w:rPr>
          <w:rFonts w:ascii="Tahoma" w:hAnsi="Tahoma" w:cs="Tahoma"/>
          <w:sz w:val="24"/>
          <w:szCs w:val="24"/>
        </w:rPr>
        <w:t>F</w:t>
      </w:r>
      <w:r w:rsidR="001906ED">
        <w:rPr>
          <w:rFonts w:ascii="Tahoma" w:hAnsi="Tahoma" w:cs="Tahoma"/>
          <w:sz w:val="24"/>
          <w:szCs w:val="24"/>
        </w:rPr>
        <w:t>. N</w:t>
      </w:r>
      <w:r w:rsidR="001906ED" w:rsidRPr="001906ED">
        <w:rPr>
          <w:rFonts w:ascii="Tahoma" w:hAnsi="Tahoma" w:cs="Tahoma"/>
          <w:sz w:val="24"/>
          <w:szCs w:val="24"/>
        </w:rPr>
        <w:t xml:space="preserve">r. 4338 DEJ) </w:t>
      </w:r>
      <w:r w:rsidR="001906ED">
        <w:rPr>
          <w:rFonts w:ascii="Tahoma" w:hAnsi="Tahoma" w:cs="Tahoma"/>
          <w:sz w:val="24"/>
          <w:szCs w:val="24"/>
        </w:rPr>
        <w:t>cu N</w:t>
      </w:r>
      <w:r w:rsidR="001906ED" w:rsidRPr="001906ED">
        <w:rPr>
          <w:rFonts w:ascii="Tahoma" w:hAnsi="Tahoma" w:cs="Tahoma"/>
          <w:sz w:val="24"/>
          <w:szCs w:val="24"/>
        </w:rPr>
        <w:t>r. cadastral 53857 în suprafaţă totală de 474 m</w:t>
      </w:r>
      <w:r w:rsidR="001906ED">
        <w:rPr>
          <w:rFonts w:ascii="Tahoma" w:hAnsi="Tahoma" w:cs="Tahoma"/>
          <w:sz w:val="24"/>
          <w:szCs w:val="24"/>
        </w:rPr>
        <w:t>.</w:t>
      </w:r>
      <w:r w:rsidR="001906ED" w:rsidRPr="001906ED">
        <w:rPr>
          <w:rFonts w:ascii="Tahoma" w:hAnsi="Tahoma" w:cs="Tahoma"/>
          <w:sz w:val="24"/>
          <w:szCs w:val="24"/>
        </w:rPr>
        <w:t>p</w:t>
      </w:r>
      <w:r w:rsidR="001906ED">
        <w:rPr>
          <w:rFonts w:ascii="Tahoma" w:hAnsi="Tahoma" w:cs="Tahoma"/>
          <w:sz w:val="24"/>
          <w:szCs w:val="24"/>
        </w:rPr>
        <w:t>.</w:t>
      </w:r>
      <w:r w:rsidR="001906ED" w:rsidRPr="001906ED">
        <w:rPr>
          <w:rFonts w:ascii="Tahoma" w:hAnsi="Tahoma" w:cs="Tahoma"/>
          <w:sz w:val="24"/>
          <w:szCs w:val="24"/>
        </w:rPr>
        <w:t xml:space="preserve">, proprietar Oraşul Dej, conform Documentaţiei cadastrale întocmită de topograf autorizat GHERGHIŞAN CRISTIAN, astfel: 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sz w:val="24"/>
          <w:szCs w:val="24"/>
          <w:lang w:val="ro-RO"/>
        </w:rPr>
      </w:pPr>
      <w:r w:rsidRPr="001906ED">
        <w:rPr>
          <w:rFonts w:ascii="Tahoma" w:hAnsi="Tahoma" w:cs="Tahoma"/>
          <w:sz w:val="24"/>
          <w:szCs w:val="24"/>
          <w:lang w:val="ro-RO"/>
        </w:rPr>
        <w:t>parcela 1, în suprafaţă de 414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906ED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1906ED">
        <w:rPr>
          <w:rFonts w:ascii="Tahoma" w:hAnsi="Tahoma" w:cs="Tahoma"/>
          <w:sz w:val="24"/>
          <w:szCs w:val="24"/>
          <w:lang w:val="ro-RO"/>
        </w:rPr>
        <w:t xml:space="preserve">, având categoria de folosinţă „Curţi construcţii”, proprietar Oraşul Dej </w:t>
      </w:r>
    </w:p>
    <w:p w:rsidR="001906ED" w:rsidRPr="001906ED" w:rsidRDefault="001906ED" w:rsidP="001906ED">
      <w:pPr>
        <w:numPr>
          <w:ilvl w:val="0"/>
          <w:numId w:val="4"/>
        </w:numPr>
        <w:ind w:firstLine="780"/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sz w:val="24"/>
          <w:szCs w:val="24"/>
          <w:lang w:val="ro-RO"/>
        </w:rPr>
        <w:t xml:space="preserve">parcela 2, în suprafaţă  de 60 m.p., având categoria de folosinţă „Curţi construcţii”, proprietar Oraşul Dej </w:t>
      </w:r>
    </w:p>
    <w:p w:rsidR="001906ED" w:rsidRPr="001906ED" w:rsidRDefault="001906ED" w:rsidP="001906ED">
      <w:pPr>
        <w:ind w:firstLine="780"/>
        <w:jc w:val="both"/>
        <w:rPr>
          <w:rFonts w:ascii="Tahoma" w:hAnsi="Tahoma" w:cs="Tahoma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906ED">
        <w:rPr>
          <w:rFonts w:ascii="Tahoma" w:hAnsi="Tahoma" w:cs="Tahoma"/>
          <w:sz w:val="24"/>
          <w:szCs w:val="24"/>
          <w:lang w:val="ro-RO"/>
        </w:rPr>
        <w:t xml:space="preserve"> concesionarea prin licitaţie publică a parcelei 2, în suprafaţă  de 60 mp, situată în în Municipiului Dej, Strada Victoriei, Nr. 1,</w:t>
      </w:r>
    </w:p>
    <w:p w:rsidR="001906ED" w:rsidRPr="001906ED" w:rsidRDefault="001906ED" w:rsidP="001C43D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="001C43DF">
        <w:rPr>
          <w:rFonts w:ascii="Tahoma" w:hAnsi="Tahoma" w:cs="Tahoma"/>
          <w:b/>
          <w:color w:val="000000"/>
          <w:sz w:val="24"/>
          <w:szCs w:val="24"/>
          <w:lang w:val="ro-RO"/>
        </w:rPr>
        <w:t>.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preţul de pornire al licitaţiei </w:t>
      </w:r>
      <w:r w:rsidRPr="001906ED">
        <w:rPr>
          <w:rFonts w:ascii="Tahoma" w:hAnsi="Tahoma" w:cs="Tahoma"/>
          <w:sz w:val="24"/>
          <w:szCs w:val="24"/>
          <w:lang w:val="fr-FR"/>
        </w:rPr>
        <w:t>pentru terenul în suprafaţă de 60 m</w:t>
      </w:r>
      <w:r w:rsidR="001C43DF">
        <w:rPr>
          <w:rFonts w:ascii="Tahoma" w:hAnsi="Tahoma" w:cs="Tahoma"/>
          <w:sz w:val="24"/>
          <w:szCs w:val="24"/>
          <w:lang w:val="fr-FR"/>
        </w:rPr>
        <w:t>.</w:t>
      </w:r>
      <w:r w:rsidRPr="001906ED">
        <w:rPr>
          <w:rFonts w:ascii="Tahoma" w:hAnsi="Tahoma" w:cs="Tahoma"/>
          <w:sz w:val="24"/>
          <w:szCs w:val="24"/>
          <w:lang w:val="fr-FR"/>
        </w:rPr>
        <w:t>p</w:t>
      </w:r>
      <w:r w:rsidR="001C43DF">
        <w:rPr>
          <w:rFonts w:ascii="Tahoma" w:hAnsi="Tahoma" w:cs="Tahoma"/>
          <w:sz w:val="24"/>
          <w:szCs w:val="24"/>
          <w:lang w:val="fr-FR"/>
        </w:rPr>
        <w:t>.</w:t>
      </w:r>
      <w:r w:rsidRPr="001906ED">
        <w:rPr>
          <w:rFonts w:ascii="Tahoma" w:hAnsi="Tahoma" w:cs="Tahoma"/>
          <w:sz w:val="24"/>
          <w:szCs w:val="24"/>
          <w:lang w:val="fr-FR"/>
        </w:rPr>
        <w:t>, în valoare de 1077 lei/an.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</w:t>
      </w:r>
      <w:r w:rsidR="001C43DF" w:rsidRPr="001C43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Durata concesiunii este de 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>10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ani.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5</w:t>
      </w:r>
      <w:r w:rsidR="001C43DF" w:rsidRPr="001C43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Caietul de sarcini </w:t>
      </w:r>
      <w:r w:rsidR="001C43DF">
        <w:rPr>
          <w:rFonts w:ascii="Tahoma" w:hAnsi="Tahoma" w:cs="Tahoma"/>
          <w:sz w:val="24"/>
          <w:szCs w:val="24"/>
          <w:lang w:val="fr-FR"/>
        </w:rPr>
        <w:t>(Anexa N</w:t>
      </w:r>
      <w:r w:rsidRPr="001906ED">
        <w:rPr>
          <w:rFonts w:ascii="Tahoma" w:hAnsi="Tahoma" w:cs="Tahoma"/>
          <w:sz w:val="24"/>
          <w:szCs w:val="24"/>
          <w:lang w:val="fr-FR"/>
        </w:rPr>
        <w:t>r. 1),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1906ED">
        <w:rPr>
          <w:rFonts w:ascii="Tahoma" w:hAnsi="Tahoma" w:cs="Tahoma"/>
          <w:sz w:val="24"/>
          <w:szCs w:val="24"/>
          <w:lang w:val="fr-FR"/>
        </w:rPr>
        <w:t xml:space="preserve">Instrucţiunile pentru ofertanţi, </w:t>
      </w:r>
      <w:r w:rsidRPr="001906ED">
        <w:rPr>
          <w:rFonts w:ascii="Tahoma" w:hAnsi="Tahoma" w:cs="Tahoma"/>
          <w:sz w:val="24"/>
          <w:szCs w:val="24"/>
          <w:lang w:val="ro-RO"/>
        </w:rPr>
        <w:t>care fac parte integrantă din prezenta Hotărâre.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6</w:t>
      </w:r>
      <w:r w:rsidR="001C43DF" w:rsidRPr="001C43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906ED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constituirea Comisiei de evaluare a ofertelor pentru organizarea şi desfăşurarea licitaţiei în următoarea componenţă: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preşedinte – ing. Zegrean Calin – director tehnic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ing. Gherman Alexandru – şef Serviciu Tehnic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ing. Gavrea Gabriela – şef S.U.A.T.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lastRenderedPageBreak/>
        <w:t>membru – jr. Pop Cristina – şef Compartiment juridic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ec. Cuzdriorean Gabriela – şef Serviciul Buget-Contabilitate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ec. Bote Anamaria – şef administraţie - A.F.P. Dej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secretar – ing. Balint Oana – inspector S.U.A.T.</w:t>
      </w:r>
    </w:p>
    <w:p w:rsidR="001906ED" w:rsidRPr="001906ED" w:rsidRDefault="001906ED" w:rsidP="001906ED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Membri supleanţi: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ing. Beşa Dana – consilier S.U.A.T.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ec. Giurgiu Lidia – şef administraţie adjunct - A.F.P. Dej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ec. Şerban Mihaela – inspector Serviciul Buget-Contabilitate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jr. Iosip Horatiu – Compartiment juridic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ing. Cristurean Camelia – consilier Serviciu Tehnic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7</w:t>
      </w:r>
      <w:r w:rsidR="001C43DF" w:rsidRPr="001C43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 xml:space="preserve">  </w:t>
      </w:r>
      <w:r w:rsidRPr="001A20A2">
        <w:rPr>
          <w:rFonts w:ascii="Tahoma" w:hAnsi="Tahoma" w:cs="Tahoma"/>
          <w:b/>
          <w:bCs/>
          <w:sz w:val="24"/>
          <w:szCs w:val="24"/>
          <w:lang w:val="ro-RO"/>
        </w:rPr>
        <w:t>Aprobă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constituirea Comisiei de soluţionare a contestaţiilor licitaţiei publice în următoarea componenţă: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preşedinte –  Covaciu Andron – Secretarul </w:t>
      </w:r>
      <w:r w:rsidR="0099070B">
        <w:rPr>
          <w:rFonts w:ascii="Tahoma" w:hAnsi="Tahoma" w:cs="Tahoma"/>
          <w:color w:val="000000"/>
          <w:sz w:val="24"/>
          <w:szCs w:val="24"/>
          <w:lang w:val="ro-RO"/>
        </w:rPr>
        <w:t>Municipiului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 Dej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jr. Iosip Horaţiu - Compartiment juridic</w:t>
      </w:r>
    </w:p>
    <w:p w:rsidR="001906ED" w:rsidRPr="001906ED" w:rsidRDefault="001906ED" w:rsidP="001906ED">
      <w:pPr>
        <w:numPr>
          <w:ilvl w:val="0"/>
          <w:numId w:val="4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membru – ec. Şandor Vasile - Serviciul Buget-Contabilitate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906ED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8</w:t>
      </w:r>
      <w:r w:rsidR="001C43DF" w:rsidRPr="001C43D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 w:rsidR="001C43DF">
        <w:rPr>
          <w:rFonts w:ascii="Tahoma" w:hAnsi="Tahoma" w:cs="Tahoma"/>
          <w:color w:val="000000"/>
          <w:sz w:val="24"/>
          <w:szCs w:val="24"/>
          <w:lang w:val="ro-RO"/>
        </w:rPr>
        <w:t xml:space="preserve">  Cu ducerea la îndeplinire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a </w:t>
      </w:r>
      <w:r w:rsidR="001C43DF">
        <w:rPr>
          <w:rFonts w:ascii="Tahoma" w:hAnsi="Tahoma" w:cs="Tahoma"/>
          <w:color w:val="000000"/>
          <w:sz w:val="24"/>
          <w:szCs w:val="24"/>
          <w:lang w:val="ro-RO"/>
        </w:rPr>
        <w:t xml:space="preserve">prevederilor prezentei hotărâri  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se  încredinţează </w:t>
      </w:r>
      <w:r w:rsidR="001C43DF">
        <w:rPr>
          <w:rFonts w:ascii="Tahoma" w:hAnsi="Tahoma" w:cs="Tahoma"/>
          <w:color w:val="000000"/>
          <w:sz w:val="24"/>
          <w:szCs w:val="24"/>
          <w:lang w:val="ro-RO"/>
        </w:rPr>
        <w:t>Primarul M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1906ED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 xml:space="preserve">, Biroul Patrimoniu şi Serviciul Taxe şi impozite </w:t>
      </w:r>
      <w:r w:rsidR="001C43DF">
        <w:rPr>
          <w:rFonts w:ascii="Tahoma" w:hAnsi="Tahoma" w:cs="Tahoma"/>
          <w:color w:val="000000"/>
          <w:sz w:val="24"/>
          <w:szCs w:val="24"/>
          <w:lang w:val="ro-RO"/>
        </w:rPr>
        <w:t>din cadrul Primăriei M</w:t>
      </w:r>
      <w:r w:rsidRPr="001906ED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1906ED" w:rsidRPr="001906ED" w:rsidRDefault="001906ED" w:rsidP="001906ED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1A20A2" w:rsidRPr="001906ED" w:rsidRDefault="001A20A2" w:rsidP="001906ED">
      <w:pPr>
        <w:pStyle w:val="Corptext"/>
        <w:spacing w:after="0"/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871341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Bonta Dan Silviu</w:t>
      </w: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1D4798" w:rsidRPr="009F4043" w:rsidRDefault="001D4798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1</w:t>
      </w:r>
      <w:r w:rsidR="006E500E">
        <w:rPr>
          <w:rFonts w:ascii="Tahoma" w:hAnsi="Tahoma" w:cs="Tahoma"/>
          <w:b/>
        </w:rPr>
        <w:t>8</w:t>
      </w:r>
      <w:r w:rsidRPr="009F4043">
        <w:rPr>
          <w:rFonts w:ascii="Tahoma" w:hAnsi="Tahoma" w:cs="Tahoma"/>
          <w:b/>
        </w:rPr>
        <w:t xml:space="preserve"> 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CB4608">
        <w:rPr>
          <w:rFonts w:ascii="Tahoma" w:hAnsi="Tahoma" w:cs="Tahoma"/>
          <w:b/>
        </w:rPr>
        <w:t xml:space="preserve"> </w:t>
      </w:r>
      <w:r w:rsidR="009A2CE8">
        <w:rPr>
          <w:rFonts w:ascii="Tahoma" w:hAnsi="Tahoma" w:cs="Tahoma"/>
          <w:b/>
        </w:rPr>
        <w:t>1</w:t>
      </w:r>
      <w:r w:rsidR="001C43DF">
        <w:rPr>
          <w:rFonts w:ascii="Tahoma" w:hAnsi="Tahoma" w:cs="Tahoma"/>
          <w:b/>
        </w:rPr>
        <w:t>6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1C43DF">
        <w:rPr>
          <w:rFonts w:ascii="Tahoma" w:hAnsi="Tahoma" w:cs="Tahoma"/>
          <w:b/>
        </w:rPr>
        <w:t>2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AEF" w:rsidRDefault="006C6AEF" w:rsidP="006C6AEF">
      <w:r>
        <w:separator/>
      </w:r>
    </w:p>
  </w:endnote>
  <w:endnote w:type="continuationSeparator" w:id="0">
    <w:p w:rsidR="006C6AEF" w:rsidRDefault="006C6AEF" w:rsidP="006C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AEF" w:rsidRDefault="006C6AEF" w:rsidP="006C6AEF">
      <w:r>
        <w:separator/>
      </w:r>
    </w:p>
  </w:footnote>
  <w:footnote w:type="continuationSeparator" w:id="0">
    <w:p w:rsidR="006C6AEF" w:rsidRDefault="006C6AEF" w:rsidP="006C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EF" w:rsidRDefault="006C6AE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C6AEF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070B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Subsol">
    <w:name w:val="footer"/>
    <w:basedOn w:val="Normal"/>
    <w:link w:val="SubsolCaracter"/>
    <w:rsid w:val="006C6A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6C6A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maria@dej.r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2013-11-13T09:18:00Z</dcterms:created>
  <dcterms:modified xsi:type="dcterms:W3CDTF">2013-11-13T09:18:00Z</dcterms:modified>
</cp:coreProperties>
</file>