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7983"/>
      </w:tblGrid>
      <w:tr w:rsidR="00700799" w:rsidRPr="00700799" w:rsidTr="00700799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799" w:rsidRPr="00700799" w:rsidRDefault="00700799" w:rsidP="007007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o-RO"/>
              </w:rPr>
            </w:pPr>
            <w:r w:rsidRPr="0070079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o-RO"/>
              </w:rPr>
              <w:drawing>
                <wp:inline distT="0" distB="0" distL="0" distR="0" wp14:anchorId="04921798" wp14:editId="638C1514">
                  <wp:extent cx="476250" cy="733425"/>
                  <wp:effectExtent l="0" t="0" r="0" b="9525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799" w:rsidRPr="00700799" w:rsidRDefault="00700799" w:rsidP="0070079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o-RO"/>
              </w:rPr>
            </w:pPr>
            <w:r w:rsidRPr="00700799">
              <w:rPr>
                <w:rFonts w:ascii="Tahoma" w:eastAsia="Times New Roman" w:hAnsi="Tahoma" w:cs="Tahoma"/>
                <w:b/>
                <w:sz w:val="20"/>
                <w:szCs w:val="20"/>
                <w:lang w:eastAsia="ro-RO"/>
              </w:rPr>
              <w:t>ROMÂNIA</w:t>
            </w:r>
          </w:p>
          <w:p w:rsidR="00700799" w:rsidRPr="00700799" w:rsidRDefault="00700799" w:rsidP="0070079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o-RO"/>
              </w:rPr>
            </w:pPr>
            <w:r w:rsidRPr="00700799">
              <w:rPr>
                <w:rFonts w:ascii="Tahoma" w:eastAsia="Times New Roman" w:hAnsi="Tahoma" w:cs="Tahoma"/>
                <w:b/>
                <w:sz w:val="20"/>
                <w:szCs w:val="20"/>
                <w:lang w:eastAsia="ro-RO"/>
              </w:rPr>
              <w:t>JUDEŢUL CLUJ</w:t>
            </w:r>
          </w:p>
          <w:p w:rsidR="00700799" w:rsidRPr="00700799" w:rsidRDefault="00700799" w:rsidP="0070079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o-RO"/>
              </w:rPr>
            </w:pPr>
            <w:r w:rsidRPr="00700799">
              <w:rPr>
                <w:rFonts w:ascii="Tahoma" w:eastAsia="Times New Roman" w:hAnsi="Tahoma" w:cs="Tahoma"/>
                <w:b/>
                <w:sz w:val="20"/>
                <w:szCs w:val="20"/>
                <w:lang w:eastAsia="ro-RO"/>
              </w:rPr>
              <w:t>CONSILIUL LOCAL AL MUNICIPIULUI DEJ</w:t>
            </w:r>
          </w:p>
          <w:p w:rsidR="00700799" w:rsidRPr="00700799" w:rsidRDefault="00700799" w:rsidP="0070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00799">
              <w:rPr>
                <w:rFonts w:ascii="Tahoma" w:eastAsia="Times New Roman" w:hAnsi="Tahoma" w:cs="Tahoma"/>
                <w:sz w:val="20"/>
                <w:szCs w:val="20"/>
                <w:lang w:eastAsia="ro-RO"/>
              </w:rPr>
              <w:t xml:space="preserve">Str. 1 Mai nr. 2, Tel.: 0264/211790*, Fax 0264/223260, E-mail: </w:t>
            </w:r>
            <w:hyperlink r:id="rId7" w:history="1">
              <w:r w:rsidRPr="00700799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ro-RO"/>
                </w:rPr>
                <w:t>primaria@dej.ro</w:t>
              </w:r>
            </w:hyperlink>
          </w:p>
        </w:tc>
      </w:tr>
      <w:tr w:rsidR="00700799" w:rsidRPr="00700799" w:rsidTr="00700799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799" w:rsidRPr="00700799" w:rsidRDefault="00700799" w:rsidP="0070079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u w:val="single"/>
                <w:lang w:eastAsia="ro-RO"/>
              </w:rPr>
            </w:pPr>
          </w:p>
        </w:tc>
      </w:tr>
    </w:tbl>
    <w:p w:rsidR="00700799" w:rsidRPr="00700799" w:rsidRDefault="00700799" w:rsidP="00700799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o-RO"/>
        </w:rPr>
      </w:pPr>
      <w:r w:rsidRPr="00700799">
        <w:rPr>
          <w:rFonts w:ascii="Tahoma" w:eastAsia="Times New Roman" w:hAnsi="Tahoma" w:cs="Tahoma"/>
          <w:sz w:val="20"/>
          <w:szCs w:val="20"/>
          <w:lang w:eastAsia="ro-RO"/>
        </w:rPr>
        <w:tab/>
      </w:r>
    </w:p>
    <w:p w:rsidR="005A2F98" w:rsidRDefault="00E61DB9" w:rsidP="00A05CC7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aps/>
          <w:sz w:val="24"/>
          <w:szCs w:val="24"/>
          <w:u w:val="single"/>
          <w:lang w:eastAsia="ro-RO"/>
        </w:rPr>
      </w:pPr>
      <w:r w:rsidRPr="00E61DB9">
        <w:rPr>
          <w:rFonts w:ascii="Tahoma" w:eastAsia="Times New Roman" w:hAnsi="Tahoma" w:cs="Tahoma"/>
          <w:b/>
          <w:bCs/>
          <w:caps/>
          <w:sz w:val="24"/>
          <w:szCs w:val="24"/>
          <w:lang w:eastAsia="ro-RO"/>
        </w:rPr>
        <w:t xml:space="preserve"> </w:t>
      </w:r>
      <w:r w:rsidR="00A05CC7">
        <w:rPr>
          <w:rFonts w:ascii="Tahoma" w:eastAsia="Times New Roman" w:hAnsi="Tahoma" w:cs="Tahoma"/>
          <w:b/>
          <w:bCs/>
          <w:caps/>
          <w:sz w:val="24"/>
          <w:szCs w:val="24"/>
          <w:u w:val="single"/>
          <w:lang w:eastAsia="ro-RO"/>
        </w:rPr>
        <w:t>H O T Ă R Â R E</w:t>
      </w:r>
      <w:r>
        <w:rPr>
          <w:rFonts w:ascii="Tahoma" w:eastAsia="Times New Roman" w:hAnsi="Tahoma" w:cs="Tahoma"/>
          <w:b/>
          <w:bCs/>
          <w:caps/>
          <w:sz w:val="24"/>
          <w:szCs w:val="24"/>
          <w:u w:val="single"/>
          <w:lang w:eastAsia="ro-RO"/>
        </w:rPr>
        <w:t xml:space="preserve"> A </w:t>
      </w:r>
      <w:r w:rsidR="00A05CC7">
        <w:rPr>
          <w:rFonts w:ascii="Tahoma" w:eastAsia="Times New Roman" w:hAnsi="Tahoma" w:cs="Tahoma"/>
          <w:b/>
          <w:bCs/>
          <w:caps/>
          <w:sz w:val="24"/>
          <w:szCs w:val="24"/>
          <w:u w:val="single"/>
          <w:lang w:eastAsia="ro-RO"/>
        </w:rPr>
        <w:t xml:space="preserve">  nR.</w:t>
      </w:r>
      <w:r w:rsidR="00C06292">
        <w:rPr>
          <w:rFonts w:ascii="Tahoma" w:eastAsia="Times New Roman" w:hAnsi="Tahoma" w:cs="Tahoma"/>
          <w:b/>
          <w:bCs/>
          <w:caps/>
          <w:sz w:val="24"/>
          <w:szCs w:val="24"/>
          <w:u w:val="single"/>
          <w:lang w:eastAsia="ro-RO"/>
        </w:rPr>
        <w:t xml:space="preserve"> </w:t>
      </w:r>
      <w:r w:rsidR="00944A80">
        <w:rPr>
          <w:rFonts w:ascii="Tahoma" w:eastAsia="Times New Roman" w:hAnsi="Tahoma" w:cs="Tahoma"/>
          <w:b/>
          <w:bCs/>
          <w:caps/>
          <w:sz w:val="24"/>
          <w:szCs w:val="24"/>
          <w:u w:val="single"/>
          <w:lang w:eastAsia="ro-RO"/>
        </w:rPr>
        <w:t>87</w:t>
      </w:r>
    </w:p>
    <w:p w:rsidR="00E61DB9" w:rsidRDefault="00A05CC7" w:rsidP="00A05CC7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ro-RO"/>
        </w:rPr>
      </w:pPr>
      <w:r w:rsidRPr="00A05CC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din </w:t>
      </w:r>
      <w:r w:rsidR="00920B2E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27 noiembrie</w:t>
      </w:r>
      <w:r w:rsidRPr="00A05CC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 2014</w:t>
      </w:r>
    </w:p>
    <w:p w:rsidR="00700799" w:rsidRPr="00700799" w:rsidRDefault="00A05CC7" w:rsidP="00A05CC7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sz w:val="24"/>
          <w:szCs w:val="24"/>
          <w:lang w:eastAsia="ro-RO"/>
        </w:rPr>
      </w:pPr>
      <w:r w:rsidRPr="00700799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 </w:t>
      </w:r>
    </w:p>
    <w:p w:rsidR="00700799" w:rsidRPr="00700799" w:rsidRDefault="00700799" w:rsidP="00B07303">
      <w:pPr>
        <w:spacing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o-RO"/>
        </w:rPr>
      </w:pPr>
      <w:r w:rsidRPr="00C06292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privind </w:t>
      </w:r>
      <w:r w:rsidR="00B4404C" w:rsidRPr="00C06292">
        <w:rPr>
          <w:rFonts w:ascii="Tahoma" w:eastAsia="Times New Roman" w:hAnsi="Tahoma" w:cs="Tahoma"/>
          <w:b/>
          <w:sz w:val="24"/>
          <w:szCs w:val="24"/>
          <w:lang w:eastAsia="ro-RO"/>
        </w:rPr>
        <w:t xml:space="preserve">aprobarea </w:t>
      </w:r>
      <w:r w:rsidR="00C06292" w:rsidRPr="00C06292">
        <w:rPr>
          <w:rFonts w:ascii="Tahoma" w:eastAsia="Times New Roman" w:hAnsi="Tahoma" w:cs="Tahoma"/>
          <w:b/>
          <w:sz w:val="24"/>
          <w:szCs w:val="24"/>
          <w:lang w:eastAsia="ro-RO"/>
        </w:rPr>
        <w:t xml:space="preserve">prelungirii </w:t>
      </w:r>
      <w:r w:rsidR="00C06292" w:rsidRPr="00C06292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Contractelor de concesiune </w:t>
      </w:r>
      <w:r w:rsidR="00920B2E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57/2 noiembrie 2004 și 69/2 noiembrie 2004,</w:t>
      </w:r>
      <w:r w:rsidR="00C06292" w:rsidRPr="00C06292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 cu destinația „Extindere la parterul blocului” care e</w:t>
      </w:r>
      <w:r w:rsidR="00C06292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xpiră î</w:t>
      </w:r>
      <w:r w:rsidR="00C06292" w:rsidRPr="00C06292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n luna noiembrie 2014</w:t>
      </w:r>
    </w:p>
    <w:p w:rsidR="00700799" w:rsidRPr="00700799" w:rsidRDefault="00700799" w:rsidP="00C06292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 w:rsidRPr="00700799">
        <w:rPr>
          <w:rFonts w:ascii="Tahoma" w:eastAsia="Times New Roman" w:hAnsi="Tahoma" w:cs="Tahoma"/>
          <w:b/>
          <w:sz w:val="24"/>
          <w:szCs w:val="24"/>
          <w:lang w:eastAsia="ro-RO"/>
        </w:rPr>
        <w:t>Consiliul local al Municipiului Dej,</w:t>
      </w:r>
      <w:r w:rsidRPr="00700799">
        <w:rPr>
          <w:rFonts w:ascii="Tahoma" w:eastAsia="Times New Roman" w:hAnsi="Tahoma" w:cs="Tahoma"/>
          <w:sz w:val="24"/>
          <w:szCs w:val="24"/>
          <w:lang w:eastAsia="ro-RO"/>
        </w:rPr>
        <w:t xml:space="preserve"> întrunit în ședința ordinară din data de </w:t>
      </w:r>
      <w:r w:rsidR="00A05CC7">
        <w:rPr>
          <w:rFonts w:ascii="Tahoma" w:eastAsia="Times New Roman" w:hAnsi="Tahoma" w:cs="Tahoma"/>
          <w:sz w:val="24"/>
          <w:szCs w:val="24"/>
          <w:lang w:eastAsia="ro-RO"/>
        </w:rPr>
        <w:t>30 octombrie 2014</w:t>
      </w:r>
      <w:r w:rsidRPr="00700799">
        <w:rPr>
          <w:rFonts w:ascii="Tahoma" w:eastAsia="Times New Roman" w:hAnsi="Tahoma" w:cs="Tahoma"/>
          <w:sz w:val="24"/>
          <w:szCs w:val="24"/>
          <w:lang w:eastAsia="ro-RO"/>
        </w:rPr>
        <w:t>,</w:t>
      </w:r>
    </w:p>
    <w:p w:rsidR="00C06292" w:rsidRDefault="00700799" w:rsidP="00C06292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 w:rsidRPr="00700799">
        <w:rPr>
          <w:rFonts w:ascii="Tahoma" w:eastAsia="Times New Roman" w:hAnsi="Tahoma" w:cs="Tahoma"/>
          <w:bCs/>
          <w:sz w:val="24"/>
          <w:szCs w:val="24"/>
          <w:lang w:eastAsia="x-none"/>
        </w:rPr>
        <w:t xml:space="preserve">Având în vedere </w:t>
      </w:r>
      <w:r w:rsidRPr="00700799">
        <w:rPr>
          <w:rFonts w:ascii="Tahoma" w:eastAsia="Times New Roman" w:hAnsi="Tahoma" w:cs="Tahoma"/>
          <w:b/>
          <w:sz w:val="24"/>
          <w:szCs w:val="24"/>
          <w:lang w:eastAsia="x-none"/>
        </w:rPr>
        <w:t>proiectul de hotărâre</w:t>
      </w:r>
      <w:r w:rsidRPr="00700799">
        <w:rPr>
          <w:rFonts w:ascii="Tahoma" w:eastAsia="Times New Roman" w:hAnsi="Tahoma" w:cs="Tahoma"/>
          <w:sz w:val="24"/>
          <w:szCs w:val="24"/>
          <w:lang w:eastAsia="x-none"/>
        </w:rPr>
        <w:t xml:space="preserve">, prezentat din </w:t>
      </w:r>
      <w:r w:rsidRPr="00700799">
        <w:rPr>
          <w:rFonts w:ascii="Tahoma" w:eastAsia="Times New Roman" w:hAnsi="Tahoma" w:cs="Tahoma"/>
          <w:b/>
          <w:sz w:val="24"/>
          <w:szCs w:val="24"/>
          <w:lang w:eastAsia="x-none"/>
        </w:rPr>
        <w:t xml:space="preserve">iniţiativa primarului Municipiului Dej, </w:t>
      </w:r>
      <w:r w:rsidR="00C82D39">
        <w:rPr>
          <w:rFonts w:ascii="Tahoma" w:eastAsia="Times New Roman" w:hAnsi="Tahoma" w:cs="Tahoma"/>
          <w:sz w:val="24"/>
          <w:szCs w:val="24"/>
          <w:lang w:eastAsia="x-none"/>
        </w:rPr>
        <w:t>însoțit de Raportul</w:t>
      </w:r>
      <w:r w:rsidRPr="00700799">
        <w:rPr>
          <w:rFonts w:ascii="Tahoma" w:eastAsia="Times New Roman" w:hAnsi="Tahoma" w:cs="Tahoma"/>
          <w:sz w:val="24"/>
          <w:szCs w:val="24"/>
          <w:lang w:eastAsia="x-none"/>
        </w:rPr>
        <w:t xml:space="preserve"> Nr. </w:t>
      </w:r>
      <w:r w:rsidR="00920B2E">
        <w:rPr>
          <w:rFonts w:ascii="Tahoma" w:eastAsia="Times New Roman" w:hAnsi="Tahoma" w:cs="Tahoma"/>
          <w:sz w:val="24"/>
          <w:szCs w:val="24"/>
          <w:lang w:eastAsia="ro-RO"/>
        </w:rPr>
        <w:t>21.242</w:t>
      </w:r>
      <w:r w:rsidR="00C06292" w:rsidRPr="00C06292">
        <w:rPr>
          <w:rFonts w:ascii="Tahoma" w:eastAsia="Times New Roman" w:hAnsi="Tahoma" w:cs="Tahoma"/>
          <w:sz w:val="24"/>
          <w:szCs w:val="24"/>
          <w:lang w:eastAsia="ro-RO"/>
        </w:rPr>
        <w:t xml:space="preserve"> din </w:t>
      </w:r>
      <w:r w:rsidR="00920B2E">
        <w:rPr>
          <w:rFonts w:ascii="Tahoma" w:eastAsia="Times New Roman" w:hAnsi="Tahoma" w:cs="Tahoma"/>
          <w:sz w:val="24"/>
          <w:szCs w:val="24"/>
          <w:lang w:eastAsia="ro-RO"/>
        </w:rPr>
        <w:t>20 noiembrie</w:t>
      </w:r>
      <w:r w:rsidR="00C06292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r w:rsidR="00920B2E">
        <w:rPr>
          <w:rFonts w:ascii="Tahoma" w:eastAsia="Times New Roman" w:hAnsi="Tahoma" w:cs="Tahoma"/>
          <w:sz w:val="24"/>
          <w:szCs w:val="24"/>
          <w:lang w:eastAsia="ro-RO"/>
        </w:rPr>
        <w:t>201</w:t>
      </w:r>
      <w:r w:rsidR="00C06292" w:rsidRPr="00C06292">
        <w:rPr>
          <w:rFonts w:ascii="Tahoma" w:eastAsia="Times New Roman" w:hAnsi="Tahoma" w:cs="Tahoma"/>
          <w:sz w:val="24"/>
          <w:szCs w:val="24"/>
          <w:lang w:eastAsia="ro-RO"/>
        </w:rPr>
        <w:t>4, al Serviciului de Urbanism şi Amenajarea Teritoriului</w:t>
      </w:r>
      <w:r w:rsidR="00C06292" w:rsidRPr="00C06292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 </w:t>
      </w:r>
      <w:r w:rsidR="00C06292" w:rsidRPr="00C06292">
        <w:rPr>
          <w:rFonts w:ascii="Tahoma" w:eastAsia="Times New Roman" w:hAnsi="Tahoma" w:cs="Tahoma"/>
          <w:sz w:val="24"/>
          <w:szCs w:val="24"/>
          <w:lang w:eastAsia="ro-RO"/>
        </w:rPr>
        <w:t>prin care se propune</w:t>
      </w:r>
      <w:r w:rsidR="00C06292">
        <w:rPr>
          <w:rFonts w:ascii="Tahoma" w:eastAsia="Times New Roman" w:hAnsi="Tahoma" w:cs="Tahoma"/>
          <w:sz w:val="24"/>
          <w:szCs w:val="24"/>
          <w:lang w:eastAsia="ro-RO"/>
        </w:rPr>
        <w:t xml:space="preserve"> consiliului local</w:t>
      </w:r>
      <w:r w:rsidR="00C06292" w:rsidRPr="00C06292">
        <w:rPr>
          <w:rFonts w:ascii="Tahoma" w:eastAsia="Times New Roman" w:hAnsi="Tahoma" w:cs="Tahoma"/>
          <w:sz w:val="24"/>
          <w:szCs w:val="24"/>
          <w:lang w:eastAsia="ro-RO"/>
        </w:rPr>
        <w:t xml:space="preserve"> aprobarea prelungirii </w:t>
      </w:r>
      <w:r w:rsidR="00C06292" w:rsidRPr="00C06292">
        <w:rPr>
          <w:rFonts w:ascii="Tahoma" w:eastAsia="Times New Roman" w:hAnsi="Tahoma" w:cs="Tahoma"/>
          <w:bCs/>
          <w:sz w:val="24"/>
          <w:szCs w:val="24"/>
          <w:lang w:eastAsia="ro-RO"/>
        </w:rPr>
        <w:t xml:space="preserve">Contractelor de concesiune, </w:t>
      </w:r>
      <w:r w:rsidR="00920B2E">
        <w:rPr>
          <w:rFonts w:ascii="Tahoma" w:eastAsia="Times New Roman" w:hAnsi="Tahoma" w:cs="Tahoma"/>
          <w:bCs/>
          <w:sz w:val="24"/>
          <w:szCs w:val="24"/>
          <w:lang w:eastAsia="ro-RO"/>
        </w:rPr>
        <w:t xml:space="preserve">57/2 noiembrie 2004 și 69/2 noiembrie 2004, </w:t>
      </w:r>
      <w:r w:rsidR="00C06292" w:rsidRPr="00C06292">
        <w:rPr>
          <w:rFonts w:ascii="Tahoma" w:eastAsia="Times New Roman" w:hAnsi="Tahoma" w:cs="Tahoma"/>
          <w:bCs/>
          <w:sz w:val="24"/>
          <w:szCs w:val="24"/>
          <w:lang w:eastAsia="ro-RO"/>
        </w:rPr>
        <w:t xml:space="preserve">având destinația „extindere la parterul blocului – spațiu comercial”, </w:t>
      </w:r>
      <w:r w:rsidR="00C06292" w:rsidRPr="00C06292">
        <w:rPr>
          <w:rFonts w:ascii="Tahoma" w:eastAsia="Times New Roman" w:hAnsi="Tahoma" w:cs="Tahoma"/>
          <w:sz w:val="24"/>
          <w:szCs w:val="24"/>
          <w:lang w:eastAsia="ro-RO"/>
        </w:rPr>
        <w:t>pentru o perioadă egală cu jumătate din durata sa iniţială deci cu 5 ani</w:t>
      </w:r>
      <w:r w:rsidR="00C06292">
        <w:rPr>
          <w:rFonts w:ascii="Tahoma" w:eastAsia="Times New Roman" w:hAnsi="Tahoma" w:cs="Tahoma"/>
          <w:sz w:val="24"/>
          <w:szCs w:val="24"/>
          <w:lang w:eastAsia="ro-RO"/>
        </w:rPr>
        <w:t>, proiect avizat favorabil în ședința de lucru a comisiei de urbanism</w:t>
      </w:r>
      <w:r w:rsidR="00D61AC3">
        <w:rPr>
          <w:rFonts w:ascii="Tahoma" w:eastAsia="Times New Roman" w:hAnsi="Tahoma" w:cs="Tahoma"/>
          <w:sz w:val="24"/>
          <w:szCs w:val="24"/>
          <w:lang w:eastAsia="ro-RO"/>
        </w:rPr>
        <w:t xml:space="preserve"> și a comisiei economice</w:t>
      </w:r>
      <w:r w:rsidR="00C06292">
        <w:rPr>
          <w:rFonts w:ascii="Tahoma" w:eastAsia="Times New Roman" w:hAnsi="Tahoma" w:cs="Tahoma"/>
          <w:sz w:val="24"/>
          <w:szCs w:val="24"/>
          <w:lang w:eastAsia="ro-RO"/>
        </w:rPr>
        <w:t xml:space="preserve"> din data de </w:t>
      </w:r>
      <w:r w:rsidR="00920B2E">
        <w:rPr>
          <w:rFonts w:ascii="Tahoma" w:eastAsia="Times New Roman" w:hAnsi="Tahoma" w:cs="Tahoma"/>
          <w:sz w:val="24"/>
          <w:szCs w:val="24"/>
          <w:lang w:eastAsia="ro-RO"/>
        </w:rPr>
        <w:t>27 noiembrie</w:t>
      </w:r>
      <w:r w:rsidR="00C06292">
        <w:rPr>
          <w:rFonts w:ascii="Tahoma" w:eastAsia="Times New Roman" w:hAnsi="Tahoma" w:cs="Tahoma"/>
          <w:sz w:val="24"/>
          <w:szCs w:val="24"/>
          <w:lang w:eastAsia="ro-RO"/>
        </w:rPr>
        <w:t xml:space="preserve"> 2014;</w:t>
      </w:r>
    </w:p>
    <w:p w:rsidR="008D0AA4" w:rsidRDefault="00C06292" w:rsidP="00C06292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x-none"/>
        </w:rPr>
      </w:pPr>
      <w:r w:rsidRPr="00C06292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În temeiul prevederilor </w:t>
      </w:r>
      <w:r w:rsidR="007F44F4">
        <w:rPr>
          <w:rFonts w:ascii="Tahoma" w:eastAsia="Times New Roman" w:hAnsi="Tahoma" w:cs="Tahoma"/>
          <w:color w:val="000000"/>
          <w:sz w:val="24"/>
          <w:szCs w:val="24"/>
          <w:lang w:val="en-US" w:eastAsia="ro-RO"/>
        </w:rPr>
        <w:t>‘</w:t>
      </w:r>
      <w:r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Art. 7</w:t>
      </w:r>
      <w:r w:rsidR="007F44F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’</w:t>
      </w:r>
      <w:r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, alin. (3) din Ordonanța de Urgență</w:t>
      </w:r>
      <w:r w:rsidRPr="00C06292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 N</w:t>
      </w:r>
      <w:r w:rsidRPr="00C06292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r. 54 din 28 iunie 2006 privind regimul contractelor de concesiune de bunuri proprietate publică şi </w:t>
      </w:r>
      <w:r w:rsidR="007F44F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’</w:t>
      </w:r>
      <w:proofErr w:type="spellStart"/>
      <w:r w:rsidRPr="00C06292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Art</w:t>
      </w:r>
      <w:proofErr w:type="spellEnd"/>
      <w:r w:rsidRPr="00C06292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. 36</w:t>
      </w:r>
      <w:r w:rsidR="007F44F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’</w:t>
      </w:r>
      <w:r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,</w:t>
      </w:r>
      <w:r w:rsidRPr="00C06292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 alin. (2) litera c), alin. (5), lit. a) şi </w:t>
      </w:r>
      <w:r w:rsidR="007F44F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’</w:t>
      </w:r>
      <w:proofErr w:type="spellStart"/>
      <w:r w:rsidRPr="00C06292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Art</w:t>
      </w:r>
      <w:proofErr w:type="spellEnd"/>
      <w:r w:rsidRPr="00C06292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. 45</w:t>
      </w:r>
      <w:r w:rsidR="007F44F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’,</w:t>
      </w:r>
      <w:r w:rsidRPr="00C06292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 alin. (3)</w:t>
      </w:r>
      <w:r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 </w:t>
      </w:r>
      <w:r w:rsidR="00A05CC7" w:rsidRPr="00C06292">
        <w:rPr>
          <w:rFonts w:ascii="Tahoma" w:eastAsia="Times New Roman" w:hAnsi="Tahoma" w:cs="Tahoma"/>
          <w:sz w:val="24"/>
          <w:szCs w:val="24"/>
          <w:lang w:eastAsia="x-none"/>
        </w:rPr>
        <w:t>din Legea N</w:t>
      </w:r>
      <w:r w:rsidR="00700799" w:rsidRPr="00C06292">
        <w:rPr>
          <w:rFonts w:ascii="Tahoma" w:eastAsia="Times New Roman" w:hAnsi="Tahoma" w:cs="Tahoma"/>
          <w:sz w:val="24"/>
          <w:szCs w:val="24"/>
          <w:lang w:eastAsia="x-none"/>
        </w:rPr>
        <w:t>r. 215/2001 a administra</w:t>
      </w:r>
      <w:r>
        <w:rPr>
          <w:rFonts w:ascii="Tahoma" w:eastAsia="Times New Roman" w:hAnsi="Tahoma" w:cs="Tahoma"/>
          <w:sz w:val="24"/>
          <w:szCs w:val="24"/>
          <w:lang w:eastAsia="x-none"/>
        </w:rPr>
        <w:t>ţiei publice locale republicate,</w:t>
      </w:r>
      <w:r w:rsidR="00700799" w:rsidRPr="00700799">
        <w:rPr>
          <w:rFonts w:ascii="Tahoma" w:eastAsia="Times New Roman" w:hAnsi="Tahoma" w:cs="Tahoma"/>
          <w:sz w:val="24"/>
          <w:szCs w:val="24"/>
          <w:lang w:eastAsia="x-none"/>
        </w:rPr>
        <w:tab/>
      </w:r>
    </w:p>
    <w:p w:rsidR="00700799" w:rsidRPr="00700799" w:rsidRDefault="00700799" w:rsidP="00C06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07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A05CC7" w:rsidRDefault="00700799" w:rsidP="007007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u w:val="single"/>
          <w:lang w:eastAsia="x-none"/>
        </w:rPr>
      </w:pPr>
      <w:r w:rsidRPr="00700799">
        <w:rPr>
          <w:rFonts w:ascii="Tahoma" w:eastAsia="Times New Roman" w:hAnsi="Tahoma" w:cs="Tahoma"/>
          <w:b/>
          <w:bCs/>
          <w:sz w:val="24"/>
          <w:szCs w:val="24"/>
          <w:u w:val="single"/>
          <w:lang w:eastAsia="x-none"/>
        </w:rPr>
        <w:t>H O T Ă R Ă Ş T E:</w:t>
      </w:r>
    </w:p>
    <w:p w:rsidR="008D0AA4" w:rsidRPr="00700799" w:rsidRDefault="008D0AA4" w:rsidP="007007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u w:val="single"/>
          <w:lang w:eastAsia="x-none"/>
        </w:rPr>
      </w:pPr>
    </w:p>
    <w:p w:rsidR="0095209F" w:rsidRPr="0095209F" w:rsidRDefault="00700799" w:rsidP="0095209F">
      <w:pPr>
        <w:spacing w:after="0"/>
        <w:ind w:firstLine="708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 w:rsidRPr="00700799">
        <w:rPr>
          <w:rFonts w:ascii="Tahoma" w:eastAsia="Times New Roman" w:hAnsi="Tahoma" w:cs="Tahoma"/>
          <w:b/>
          <w:sz w:val="24"/>
          <w:szCs w:val="24"/>
          <w:u w:val="single"/>
          <w:lang w:eastAsia="ro-RO"/>
        </w:rPr>
        <w:t>Art.1</w:t>
      </w:r>
      <w:r w:rsidRPr="008D0AA4">
        <w:rPr>
          <w:rFonts w:ascii="Tahoma" w:eastAsia="Times New Roman" w:hAnsi="Tahoma" w:cs="Tahoma"/>
          <w:b/>
          <w:sz w:val="24"/>
          <w:szCs w:val="24"/>
          <w:u w:val="single"/>
          <w:lang w:eastAsia="ro-RO"/>
        </w:rPr>
        <w:t>.</w:t>
      </w:r>
      <w:r w:rsidRPr="008D0AA4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r w:rsidRPr="008D0AA4">
        <w:rPr>
          <w:rFonts w:ascii="Tahoma" w:eastAsia="Times New Roman" w:hAnsi="Tahoma" w:cs="Tahoma"/>
          <w:b/>
          <w:sz w:val="24"/>
          <w:szCs w:val="24"/>
          <w:lang w:eastAsia="ro-RO"/>
        </w:rPr>
        <w:t>Aprobă</w:t>
      </w:r>
      <w:r w:rsidR="008D0AA4" w:rsidRPr="008D0AA4">
        <w:rPr>
          <w:rFonts w:ascii="Tahoma" w:eastAsia="Times New Roman" w:hAnsi="Tahoma" w:cs="Tahoma"/>
          <w:b/>
          <w:sz w:val="24"/>
          <w:szCs w:val="24"/>
          <w:lang w:eastAsia="ro-RO"/>
        </w:rPr>
        <w:t xml:space="preserve"> </w:t>
      </w:r>
      <w:r w:rsidR="0095209F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Actul Adiţional N</w:t>
      </w:r>
      <w:r w:rsidR="0095209F" w:rsidRPr="0095209F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r. 1 la Contractul </w:t>
      </w:r>
      <w:r w:rsidR="0095209F">
        <w:rPr>
          <w:rFonts w:ascii="Tahoma" w:eastAsia="Times New Roman" w:hAnsi="Tahoma" w:cs="Tahoma"/>
          <w:sz w:val="24"/>
          <w:szCs w:val="24"/>
          <w:lang w:eastAsia="ro-RO"/>
        </w:rPr>
        <w:t>de concesiune N</w:t>
      </w:r>
      <w:r w:rsidR="0095209F"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r. 57/28427 din 02.11.2004, prin care se modifică: </w:t>
      </w:r>
    </w:p>
    <w:p w:rsidR="0095209F" w:rsidRPr="0095209F" w:rsidRDefault="0095209F" w:rsidP="0095209F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 w:rsidRPr="0095209F">
        <w:rPr>
          <w:rFonts w:ascii="Tahoma" w:eastAsia="Times New Roman" w:hAnsi="Tahoma" w:cs="Tahoma"/>
          <w:b/>
          <w:sz w:val="24"/>
          <w:szCs w:val="24"/>
          <w:lang w:eastAsia="ro-RO"/>
        </w:rPr>
        <w:t>Cap. I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 astfel: „ Între Mu</w:t>
      </w:r>
      <w:r>
        <w:rPr>
          <w:rFonts w:ascii="Tahoma" w:eastAsia="Times New Roman" w:hAnsi="Tahoma" w:cs="Tahoma"/>
          <w:sz w:val="24"/>
          <w:szCs w:val="24"/>
          <w:lang w:eastAsia="ro-RO"/>
        </w:rPr>
        <w:t>nicipiul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 Dej cu sediul în Dej, </w:t>
      </w:r>
      <w:r>
        <w:rPr>
          <w:rFonts w:ascii="Tahoma" w:eastAsia="Times New Roman" w:hAnsi="Tahoma" w:cs="Tahoma"/>
          <w:sz w:val="24"/>
          <w:szCs w:val="24"/>
          <w:lang w:eastAsia="ro-RO"/>
        </w:rPr>
        <w:t>Strada 1 Mai, N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r. 2, reprezentat prin ing. Morar </w:t>
      </w:r>
      <w:proofErr w:type="spellStart"/>
      <w:r w:rsidRPr="0095209F">
        <w:rPr>
          <w:rFonts w:ascii="Tahoma" w:eastAsia="Times New Roman" w:hAnsi="Tahoma" w:cs="Tahoma"/>
          <w:sz w:val="24"/>
          <w:szCs w:val="24"/>
          <w:lang w:eastAsia="ro-RO"/>
        </w:rPr>
        <w:t>Costan</w:t>
      </w:r>
      <w:proofErr w:type="spellEnd"/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, având funcţia de primar în calitate de concedent, pe de o parte şi </w:t>
      </w:r>
      <w:r w:rsidRPr="0095209F">
        <w:rPr>
          <w:rFonts w:ascii="Tahoma" w:eastAsia="Times New Roman" w:hAnsi="Tahoma" w:cs="Tahoma"/>
          <w:b/>
          <w:sz w:val="24"/>
          <w:szCs w:val="24"/>
          <w:lang w:eastAsia="ro-RO"/>
        </w:rPr>
        <w:t>GUJAN GHEORHE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, persoană fizică cu domiciliul în </w:t>
      </w:r>
      <w:r>
        <w:rPr>
          <w:rFonts w:ascii="Tahoma" w:eastAsia="Times New Roman" w:hAnsi="Tahoma" w:cs="Tahoma"/>
          <w:sz w:val="24"/>
          <w:szCs w:val="24"/>
          <w:lang w:eastAsia="ro-RO"/>
        </w:rPr>
        <w:t xml:space="preserve">Municipiul 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Dej, </w:t>
      </w:r>
      <w:r>
        <w:rPr>
          <w:rFonts w:ascii="Tahoma" w:eastAsia="Times New Roman" w:hAnsi="Tahoma" w:cs="Tahoma"/>
          <w:sz w:val="24"/>
          <w:szCs w:val="24"/>
          <w:lang w:eastAsia="ro-RO"/>
        </w:rPr>
        <w:t>Strada Pandurilor, N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r. 2, ap. 6, posesor al C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I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 seria KX N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r. 431860 cu C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N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P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 1620427311813, în calitate de concesionar pe de altă parte”.</w:t>
      </w:r>
    </w:p>
    <w:p w:rsidR="0095209F" w:rsidRPr="0095209F" w:rsidRDefault="0095209F" w:rsidP="0095209F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>
        <w:rPr>
          <w:rFonts w:ascii="Tahoma" w:eastAsia="Times New Roman" w:hAnsi="Tahoma" w:cs="Tahoma"/>
          <w:sz w:val="24"/>
          <w:szCs w:val="24"/>
          <w:lang w:eastAsia="ro-RO"/>
        </w:rPr>
        <w:t>Fostul beneficiar al Contractului de concesiune N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r. 57/28427  din 02.11.2004 este S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C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 IONUT IMPEX S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R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L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, cu sediul în </w:t>
      </w:r>
      <w:r>
        <w:rPr>
          <w:rFonts w:ascii="Tahoma" w:eastAsia="Times New Roman" w:hAnsi="Tahoma" w:cs="Tahoma"/>
          <w:sz w:val="24"/>
          <w:szCs w:val="24"/>
          <w:lang w:eastAsia="ro-RO"/>
        </w:rPr>
        <w:t>Municipiul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 Dej, </w:t>
      </w:r>
      <w:r>
        <w:rPr>
          <w:rFonts w:ascii="Tahoma" w:eastAsia="Times New Roman" w:hAnsi="Tahoma" w:cs="Tahoma"/>
          <w:sz w:val="24"/>
          <w:szCs w:val="24"/>
          <w:lang w:eastAsia="ro-RO"/>
        </w:rPr>
        <w:t>Strada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 xml:space="preserve"> Pandurilor, N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r. 4, bl. T 2, ap. 24 . </w:t>
      </w:r>
    </w:p>
    <w:p w:rsidR="0095209F" w:rsidRPr="0095209F" w:rsidRDefault="008E49A3" w:rsidP="0095209F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Actului adiţional N</w:t>
      </w:r>
      <w:r w:rsidR="0095209F" w:rsidRPr="0095209F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r. 1 la Contractul </w:t>
      </w:r>
      <w:r>
        <w:rPr>
          <w:rFonts w:ascii="Tahoma" w:eastAsia="Times New Roman" w:hAnsi="Tahoma" w:cs="Tahoma"/>
          <w:sz w:val="24"/>
          <w:szCs w:val="24"/>
          <w:lang w:eastAsia="ro-RO"/>
        </w:rPr>
        <w:t>de concesiune N</w:t>
      </w:r>
      <w:r w:rsidR="0095209F"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r. 69 din 02.11.2004, prin care se modifică: </w:t>
      </w:r>
    </w:p>
    <w:p w:rsidR="0095209F" w:rsidRPr="0095209F" w:rsidRDefault="0095209F" w:rsidP="0095209F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 w:rsidRPr="0095209F">
        <w:rPr>
          <w:rFonts w:ascii="Tahoma" w:eastAsia="Times New Roman" w:hAnsi="Tahoma" w:cs="Tahoma"/>
          <w:b/>
          <w:sz w:val="24"/>
          <w:szCs w:val="24"/>
          <w:lang w:eastAsia="ro-RO"/>
        </w:rPr>
        <w:t>Cap. I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 xml:space="preserve"> astfel: „ Între Municipiul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 Dej cu sediul în Dej, 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Strada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 1 Mai, nr. 2, reprezentat prin ing. Morar </w:t>
      </w:r>
      <w:proofErr w:type="spellStart"/>
      <w:r w:rsidRPr="0095209F">
        <w:rPr>
          <w:rFonts w:ascii="Tahoma" w:eastAsia="Times New Roman" w:hAnsi="Tahoma" w:cs="Tahoma"/>
          <w:sz w:val="24"/>
          <w:szCs w:val="24"/>
          <w:lang w:eastAsia="ro-RO"/>
        </w:rPr>
        <w:t>Costan</w:t>
      </w:r>
      <w:proofErr w:type="spellEnd"/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, având funcţia de primar în calitate de concedent, pe de o parte şi </w:t>
      </w:r>
      <w:r w:rsidRPr="0095209F">
        <w:rPr>
          <w:rFonts w:ascii="Tahoma" w:eastAsia="Times New Roman" w:hAnsi="Tahoma" w:cs="Tahoma"/>
          <w:b/>
          <w:sz w:val="24"/>
          <w:szCs w:val="24"/>
          <w:lang w:eastAsia="ro-RO"/>
        </w:rPr>
        <w:t>POP EMILIA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, persoană fizică cu domiciliul în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 xml:space="preserve"> Municipiul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 Dej, 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Strada I.C.BRĂTIANU, N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r. 1, ap. 25, posesor al C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I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 seria KX 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lastRenderedPageBreak/>
        <w:t>N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r. 719618 cu C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N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>P</w:t>
      </w:r>
      <w:r w:rsidR="008E49A3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 2490825123132, în calitate de concesionar pe de altă parte”.</w:t>
      </w:r>
    </w:p>
    <w:p w:rsidR="008D0AA4" w:rsidRPr="0095209F" w:rsidRDefault="008E49A3" w:rsidP="008E49A3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>
        <w:rPr>
          <w:rFonts w:ascii="Tahoma" w:eastAsia="Times New Roman" w:hAnsi="Tahoma" w:cs="Tahoma"/>
          <w:sz w:val="24"/>
          <w:szCs w:val="24"/>
          <w:lang w:eastAsia="ro-RO"/>
        </w:rPr>
        <w:t>Fostul beneficiar al Contractului de concesiune N</w:t>
      </w:r>
      <w:r w:rsidR="0095209F" w:rsidRPr="0095209F">
        <w:rPr>
          <w:rFonts w:ascii="Tahoma" w:eastAsia="Times New Roman" w:hAnsi="Tahoma" w:cs="Tahoma"/>
          <w:sz w:val="24"/>
          <w:szCs w:val="24"/>
          <w:lang w:eastAsia="ro-RO"/>
        </w:rPr>
        <w:t>r. 69  din 02.11.2004 este S</w:t>
      </w:r>
      <w:r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="0095209F" w:rsidRPr="0095209F">
        <w:rPr>
          <w:rFonts w:ascii="Tahoma" w:eastAsia="Times New Roman" w:hAnsi="Tahoma" w:cs="Tahoma"/>
          <w:sz w:val="24"/>
          <w:szCs w:val="24"/>
          <w:lang w:eastAsia="ro-RO"/>
        </w:rPr>
        <w:t>C</w:t>
      </w:r>
      <w:r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="0095209F"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 NEFORAL S</w:t>
      </w:r>
      <w:r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="0095209F" w:rsidRPr="0095209F">
        <w:rPr>
          <w:rFonts w:ascii="Tahoma" w:eastAsia="Times New Roman" w:hAnsi="Tahoma" w:cs="Tahoma"/>
          <w:sz w:val="24"/>
          <w:szCs w:val="24"/>
          <w:lang w:eastAsia="ro-RO"/>
        </w:rPr>
        <w:t>R</w:t>
      </w:r>
      <w:r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="0095209F" w:rsidRPr="0095209F">
        <w:rPr>
          <w:rFonts w:ascii="Tahoma" w:eastAsia="Times New Roman" w:hAnsi="Tahoma" w:cs="Tahoma"/>
          <w:sz w:val="24"/>
          <w:szCs w:val="24"/>
          <w:lang w:eastAsia="ro-RO"/>
        </w:rPr>
        <w:t>L</w:t>
      </w:r>
      <w:r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="0095209F"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, cu sediul în </w:t>
      </w:r>
      <w:r>
        <w:rPr>
          <w:rFonts w:ascii="Tahoma" w:eastAsia="Times New Roman" w:hAnsi="Tahoma" w:cs="Tahoma"/>
          <w:sz w:val="24"/>
          <w:szCs w:val="24"/>
          <w:lang w:eastAsia="ro-RO"/>
        </w:rPr>
        <w:t>Municipiul</w:t>
      </w:r>
      <w:r w:rsidR="0095209F"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 Dej, </w:t>
      </w:r>
      <w:r>
        <w:rPr>
          <w:rFonts w:ascii="Tahoma" w:eastAsia="Times New Roman" w:hAnsi="Tahoma" w:cs="Tahoma"/>
          <w:sz w:val="24"/>
          <w:szCs w:val="24"/>
          <w:lang w:eastAsia="ro-RO"/>
        </w:rPr>
        <w:t>Strada Laurilor, N</w:t>
      </w:r>
      <w:r w:rsidR="0095209F" w:rsidRPr="0095209F">
        <w:rPr>
          <w:rFonts w:ascii="Tahoma" w:eastAsia="Times New Roman" w:hAnsi="Tahoma" w:cs="Tahoma"/>
          <w:sz w:val="24"/>
          <w:szCs w:val="24"/>
          <w:lang w:eastAsia="ro-RO"/>
        </w:rPr>
        <w:t xml:space="preserve">r. 2. </w:t>
      </w:r>
    </w:p>
    <w:p w:rsidR="008D0AA4" w:rsidRPr="008D0AA4" w:rsidRDefault="008D0AA4" w:rsidP="00C06292">
      <w:pPr>
        <w:spacing w:after="0" w:line="240" w:lineRule="auto"/>
        <w:ind w:firstLine="708"/>
        <w:jc w:val="both"/>
        <w:rPr>
          <w:rFonts w:ascii="Tahoma" w:eastAsia="Times New Roman" w:hAnsi="Tahoma" w:cs="Tahoma"/>
          <w:bCs/>
          <w:sz w:val="24"/>
          <w:szCs w:val="24"/>
          <w:lang w:eastAsia="ro-RO"/>
        </w:rPr>
      </w:pPr>
      <w:r w:rsidRPr="008D0AA4">
        <w:rPr>
          <w:rFonts w:ascii="Tahoma" w:eastAsia="Times New Roman" w:hAnsi="Tahoma" w:cs="Tahoma"/>
          <w:b/>
          <w:sz w:val="24"/>
          <w:szCs w:val="24"/>
          <w:u w:val="single"/>
          <w:lang w:eastAsia="ro-RO"/>
        </w:rPr>
        <w:t>Art.2.</w:t>
      </w:r>
      <w:r w:rsidRPr="008D0AA4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r w:rsidRPr="008D0AA4">
        <w:rPr>
          <w:rFonts w:ascii="Tahoma" w:eastAsia="Times New Roman" w:hAnsi="Tahoma" w:cs="Tahoma"/>
          <w:b/>
          <w:sz w:val="24"/>
          <w:szCs w:val="24"/>
          <w:lang w:eastAsia="ro-RO"/>
        </w:rPr>
        <w:t>Aprobă</w:t>
      </w:r>
      <w:r w:rsidR="00700799" w:rsidRPr="008D0AA4">
        <w:rPr>
          <w:rFonts w:ascii="Tahoma" w:eastAsia="Times New Roman" w:hAnsi="Tahoma" w:cs="Tahoma"/>
          <w:b/>
          <w:sz w:val="24"/>
          <w:szCs w:val="24"/>
          <w:lang w:eastAsia="ro-RO"/>
        </w:rPr>
        <w:t xml:space="preserve"> </w:t>
      </w:r>
      <w:r w:rsidR="00C06292" w:rsidRPr="008D0AA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prelungirea pentru o perioadă de </w:t>
      </w:r>
      <w:r w:rsidR="00C06292" w:rsidRPr="008D0AA4">
        <w:rPr>
          <w:rFonts w:ascii="Tahoma" w:eastAsia="Times New Roman" w:hAnsi="Tahoma" w:cs="Tahoma"/>
          <w:b/>
          <w:color w:val="000000"/>
          <w:sz w:val="24"/>
          <w:szCs w:val="24"/>
          <w:lang w:eastAsia="ro-RO"/>
        </w:rPr>
        <w:t>5 ani</w:t>
      </w:r>
      <w:r w:rsidR="00C06292" w:rsidRPr="008D0AA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 a </w:t>
      </w:r>
      <w:r w:rsidR="00C06292" w:rsidRPr="008D0AA4">
        <w:rPr>
          <w:rFonts w:ascii="Tahoma" w:eastAsia="Times New Roman" w:hAnsi="Tahoma" w:cs="Tahoma"/>
          <w:bCs/>
          <w:sz w:val="24"/>
          <w:szCs w:val="24"/>
          <w:lang w:eastAsia="ro-RO"/>
        </w:rPr>
        <w:t xml:space="preserve">Contractelor de concesiune, </w:t>
      </w:r>
      <w:r w:rsidR="00920B2E" w:rsidRPr="008D0AA4">
        <w:rPr>
          <w:rFonts w:ascii="Tahoma" w:eastAsia="Times New Roman" w:hAnsi="Tahoma" w:cs="Tahoma"/>
          <w:bCs/>
          <w:sz w:val="24"/>
          <w:szCs w:val="24"/>
          <w:lang w:eastAsia="ro-RO"/>
        </w:rPr>
        <w:t>57/2 noiembrie 2004 și 69/2 noiembrie 2004.</w:t>
      </w:r>
    </w:p>
    <w:p w:rsidR="00C06292" w:rsidRDefault="008D0AA4" w:rsidP="00C06292">
      <w:pPr>
        <w:spacing w:after="0" w:line="240" w:lineRule="auto"/>
        <w:ind w:firstLine="708"/>
        <w:jc w:val="both"/>
        <w:rPr>
          <w:rFonts w:ascii="Tahoma" w:eastAsia="Times New Roman" w:hAnsi="Tahoma" w:cs="Tahoma"/>
          <w:bCs/>
          <w:sz w:val="24"/>
          <w:szCs w:val="24"/>
          <w:lang w:eastAsia="ro-RO"/>
        </w:rPr>
      </w:pPr>
      <w:r w:rsidRPr="008E49A3">
        <w:rPr>
          <w:rFonts w:ascii="Tahoma" w:eastAsia="Times New Roman" w:hAnsi="Tahoma" w:cs="Tahoma"/>
          <w:b/>
          <w:sz w:val="24"/>
          <w:szCs w:val="24"/>
          <w:u w:val="single"/>
          <w:lang w:eastAsia="ro-RO"/>
        </w:rPr>
        <w:t>Art.3</w:t>
      </w:r>
      <w:r w:rsidR="00C06292" w:rsidRPr="008E49A3">
        <w:rPr>
          <w:rFonts w:ascii="Tahoma" w:eastAsia="Times New Roman" w:hAnsi="Tahoma" w:cs="Tahoma"/>
          <w:b/>
          <w:sz w:val="24"/>
          <w:szCs w:val="24"/>
          <w:u w:val="single"/>
          <w:lang w:eastAsia="ro-RO"/>
        </w:rPr>
        <w:t>.</w:t>
      </w:r>
      <w:r w:rsidR="00C06292" w:rsidRPr="008D0AA4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r w:rsidR="00C82D39" w:rsidRPr="008D0AA4">
        <w:rPr>
          <w:rFonts w:ascii="Tahoma" w:eastAsia="Times New Roman" w:hAnsi="Tahoma" w:cs="Tahoma"/>
          <w:b/>
          <w:sz w:val="24"/>
          <w:szCs w:val="24"/>
          <w:lang w:eastAsia="ro-RO"/>
        </w:rPr>
        <w:t>Aprobă</w:t>
      </w:r>
      <w:r w:rsidR="00C82D39" w:rsidRPr="008D0AA4">
        <w:rPr>
          <w:rFonts w:ascii="Tahoma" w:eastAsia="Times New Roman" w:hAnsi="Tahoma" w:cs="Tahoma"/>
          <w:bCs/>
          <w:sz w:val="24"/>
          <w:szCs w:val="24"/>
          <w:lang w:eastAsia="ro-RO"/>
        </w:rPr>
        <w:t xml:space="preserve"> r</w:t>
      </w:r>
      <w:r w:rsidR="00C06292" w:rsidRPr="008D0AA4">
        <w:rPr>
          <w:rFonts w:ascii="Tahoma" w:eastAsia="Times New Roman" w:hAnsi="Tahoma" w:cs="Tahoma"/>
          <w:bCs/>
          <w:sz w:val="24"/>
          <w:szCs w:val="24"/>
          <w:lang w:eastAsia="ro-RO"/>
        </w:rPr>
        <w:t>edevenţa pe anul 2014 pentru Contr</w:t>
      </w:r>
      <w:r w:rsidR="00C82D39" w:rsidRPr="008D0AA4">
        <w:rPr>
          <w:rFonts w:ascii="Tahoma" w:eastAsia="Times New Roman" w:hAnsi="Tahoma" w:cs="Tahoma"/>
          <w:bCs/>
          <w:sz w:val="24"/>
          <w:szCs w:val="24"/>
          <w:lang w:eastAsia="ro-RO"/>
        </w:rPr>
        <w:t xml:space="preserve">actele de concesiune care expiră și </w:t>
      </w:r>
      <w:r w:rsidR="00920B2E" w:rsidRPr="008D0AA4">
        <w:rPr>
          <w:rFonts w:ascii="Tahoma" w:eastAsia="Times New Roman" w:hAnsi="Tahoma" w:cs="Tahoma"/>
          <w:bCs/>
          <w:sz w:val="24"/>
          <w:szCs w:val="24"/>
          <w:lang w:eastAsia="ro-RO"/>
        </w:rPr>
        <w:t>noii beneficiari sunt:</w:t>
      </w:r>
    </w:p>
    <w:p w:rsidR="008D0AA4" w:rsidRPr="008D0AA4" w:rsidRDefault="008D0AA4" w:rsidP="00C06292">
      <w:pPr>
        <w:spacing w:after="0" w:line="240" w:lineRule="auto"/>
        <w:ind w:firstLine="708"/>
        <w:jc w:val="both"/>
        <w:rPr>
          <w:rFonts w:ascii="Tahoma" w:eastAsia="Times New Roman" w:hAnsi="Tahoma" w:cs="Tahoma"/>
          <w:bCs/>
          <w:sz w:val="24"/>
          <w:szCs w:val="24"/>
          <w:lang w:eastAsia="ro-RO"/>
        </w:rPr>
      </w:pPr>
      <w:bookmarkStart w:id="0" w:name="_GoBack"/>
      <w:bookmarkEnd w:id="0"/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15"/>
        <w:gridCol w:w="1764"/>
        <w:gridCol w:w="1847"/>
        <w:gridCol w:w="1329"/>
        <w:gridCol w:w="2255"/>
        <w:gridCol w:w="903"/>
        <w:gridCol w:w="675"/>
      </w:tblGrid>
      <w:tr w:rsidR="00B07303" w:rsidRPr="008D0AA4" w:rsidTr="00B07303">
        <w:tc>
          <w:tcPr>
            <w:tcW w:w="524" w:type="dxa"/>
          </w:tcPr>
          <w:p w:rsidR="00B07303" w:rsidRPr="008D0AA4" w:rsidRDefault="00B07303" w:rsidP="00C06292">
            <w:pPr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</w:pPr>
            <w:r w:rsidRPr="008D0AA4"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764" w:type="dxa"/>
          </w:tcPr>
          <w:p w:rsidR="00B07303" w:rsidRPr="008D0AA4" w:rsidRDefault="00B07303" w:rsidP="00B07303">
            <w:pPr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</w:pPr>
            <w:r w:rsidRPr="008D0AA4"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  <w:t>57/02.11.2004</w:t>
            </w:r>
          </w:p>
        </w:tc>
        <w:tc>
          <w:tcPr>
            <w:tcW w:w="1931" w:type="dxa"/>
          </w:tcPr>
          <w:p w:rsidR="00B07303" w:rsidRPr="008D0AA4" w:rsidRDefault="00B07303" w:rsidP="00B07303">
            <w:pPr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</w:pPr>
            <w:r w:rsidRPr="008D0AA4"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  <w:t>S.C. Ionuț Impex SRL</w:t>
            </w:r>
          </w:p>
        </w:tc>
        <w:tc>
          <w:tcPr>
            <w:tcW w:w="1337" w:type="dxa"/>
          </w:tcPr>
          <w:p w:rsidR="00B07303" w:rsidRPr="008D0AA4" w:rsidRDefault="00B07303" w:rsidP="00C06292">
            <w:pPr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</w:pPr>
            <w:proofErr w:type="spellStart"/>
            <w:r w:rsidRPr="008D0AA4"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  <w:t>Gujan</w:t>
            </w:r>
            <w:proofErr w:type="spellEnd"/>
            <w:r w:rsidRPr="008D0AA4"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  <w:t xml:space="preserve"> Gheorghe</w:t>
            </w:r>
          </w:p>
        </w:tc>
        <w:tc>
          <w:tcPr>
            <w:tcW w:w="2349" w:type="dxa"/>
          </w:tcPr>
          <w:p w:rsidR="00B07303" w:rsidRPr="008D0AA4" w:rsidRDefault="00B07303" w:rsidP="00B07303">
            <w:pPr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</w:pPr>
            <w:r w:rsidRPr="008D0AA4"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  <w:t>Str. Pandurilor Nr. 4, Bl. T 2</w:t>
            </w:r>
          </w:p>
        </w:tc>
        <w:tc>
          <w:tcPr>
            <w:tcW w:w="742" w:type="dxa"/>
          </w:tcPr>
          <w:p w:rsidR="00B07303" w:rsidRPr="008D0AA4" w:rsidRDefault="00B07303" w:rsidP="00C06292">
            <w:pPr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8D0AA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641" w:type="dxa"/>
          </w:tcPr>
          <w:p w:rsidR="00B07303" w:rsidRPr="008D0AA4" w:rsidRDefault="00B07303" w:rsidP="00C06292">
            <w:pPr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8D0AA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486</w:t>
            </w:r>
          </w:p>
        </w:tc>
      </w:tr>
      <w:tr w:rsidR="00B07303" w:rsidRPr="008D0AA4" w:rsidTr="00B07303">
        <w:tc>
          <w:tcPr>
            <w:tcW w:w="524" w:type="dxa"/>
          </w:tcPr>
          <w:p w:rsidR="00B07303" w:rsidRPr="008D0AA4" w:rsidRDefault="00B07303" w:rsidP="00C06292">
            <w:pPr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</w:pPr>
            <w:r w:rsidRPr="008D0AA4"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764" w:type="dxa"/>
          </w:tcPr>
          <w:p w:rsidR="00B07303" w:rsidRPr="008D0AA4" w:rsidRDefault="00B07303" w:rsidP="00C06292">
            <w:pPr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</w:pPr>
            <w:r w:rsidRPr="008D0AA4"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  <w:t>69/02.11.2004</w:t>
            </w:r>
          </w:p>
        </w:tc>
        <w:tc>
          <w:tcPr>
            <w:tcW w:w="1931" w:type="dxa"/>
          </w:tcPr>
          <w:p w:rsidR="00B07303" w:rsidRPr="008D0AA4" w:rsidRDefault="00B07303" w:rsidP="00B07303">
            <w:pPr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</w:pPr>
            <w:r w:rsidRPr="008D0AA4"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  <w:t xml:space="preserve">SC </w:t>
            </w:r>
            <w:proofErr w:type="spellStart"/>
            <w:r w:rsidRPr="008D0AA4"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  <w:t>Neforal</w:t>
            </w:r>
            <w:proofErr w:type="spellEnd"/>
            <w:r w:rsidRPr="008D0AA4"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  <w:t xml:space="preserve"> SRL</w:t>
            </w:r>
          </w:p>
        </w:tc>
        <w:tc>
          <w:tcPr>
            <w:tcW w:w="1337" w:type="dxa"/>
          </w:tcPr>
          <w:p w:rsidR="00B07303" w:rsidRPr="008D0AA4" w:rsidRDefault="00B07303" w:rsidP="00B07303">
            <w:pPr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</w:pPr>
            <w:r w:rsidRPr="008D0AA4"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  <w:t>Pop Emilia</w:t>
            </w:r>
          </w:p>
        </w:tc>
        <w:tc>
          <w:tcPr>
            <w:tcW w:w="2349" w:type="dxa"/>
          </w:tcPr>
          <w:p w:rsidR="00B07303" w:rsidRPr="008D0AA4" w:rsidRDefault="00B07303" w:rsidP="00C06292">
            <w:pPr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</w:pPr>
            <w:r w:rsidRPr="008D0AA4">
              <w:rPr>
                <w:rFonts w:ascii="Tahoma" w:eastAsia="Times New Roman" w:hAnsi="Tahoma" w:cs="Tahoma"/>
                <w:bCs/>
                <w:sz w:val="24"/>
                <w:szCs w:val="24"/>
                <w:lang w:eastAsia="ro-RO"/>
              </w:rPr>
              <w:t>Str. Mărășești Nr. 9, Bl. F 2, Apă. 1</w:t>
            </w:r>
          </w:p>
        </w:tc>
        <w:tc>
          <w:tcPr>
            <w:tcW w:w="742" w:type="dxa"/>
          </w:tcPr>
          <w:p w:rsidR="00B07303" w:rsidRPr="008D0AA4" w:rsidRDefault="00B07303" w:rsidP="00C06292">
            <w:pPr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8D0AA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19,05</w:t>
            </w:r>
          </w:p>
        </w:tc>
        <w:tc>
          <w:tcPr>
            <w:tcW w:w="641" w:type="dxa"/>
          </w:tcPr>
          <w:p w:rsidR="00B07303" w:rsidRPr="008D0AA4" w:rsidRDefault="00B07303" w:rsidP="00C06292">
            <w:pPr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8D0AA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552</w:t>
            </w:r>
          </w:p>
        </w:tc>
      </w:tr>
    </w:tbl>
    <w:p w:rsidR="008D0AA4" w:rsidRPr="008D0AA4" w:rsidRDefault="00920B2E" w:rsidP="00C06292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 w:rsidRPr="008D0AA4">
        <w:rPr>
          <w:rFonts w:ascii="Tahoma" w:eastAsia="Times New Roman" w:hAnsi="Tahoma" w:cs="Tahoma"/>
          <w:bCs/>
          <w:sz w:val="24"/>
          <w:szCs w:val="24"/>
          <w:lang w:eastAsia="ro-RO"/>
        </w:rPr>
        <w:t>Redevența se va indexa anual în conformitate cu rata inflației.</w:t>
      </w:r>
    </w:p>
    <w:p w:rsidR="00C06292" w:rsidRPr="00B07303" w:rsidRDefault="00C06292" w:rsidP="00C0629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lang w:eastAsia="ro-RO"/>
        </w:rPr>
      </w:pPr>
      <w:r w:rsidRPr="008D0AA4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ro-RO"/>
        </w:rPr>
        <w:t>Art. 3</w:t>
      </w:r>
      <w:r w:rsidR="002D5071" w:rsidRPr="008D0AA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. Cu ducerea la îndeplinire </w:t>
      </w:r>
      <w:r w:rsidRPr="008D0AA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a</w:t>
      </w:r>
      <w:r w:rsidR="002D5071" w:rsidRPr="008D0AA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 prevederilor prezentei</w:t>
      </w:r>
      <w:r w:rsidRPr="008D0AA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 </w:t>
      </w:r>
      <w:r w:rsidR="002D5071" w:rsidRPr="008D0AA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hotărâri </w:t>
      </w:r>
      <w:r w:rsidRPr="008D0AA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se  încredinţează </w:t>
      </w:r>
      <w:r w:rsidR="002D5071" w:rsidRPr="008D0AA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Primarul M</w:t>
      </w:r>
      <w:r w:rsidRPr="008D0AA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unicipiului Dej prin Serviciul </w:t>
      </w:r>
      <w:r w:rsidRPr="008D0AA4">
        <w:rPr>
          <w:rFonts w:ascii="Tahoma" w:eastAsia="Times New Roman" w:hAnsi="Tahoma" w:cs="Tahoma"/>
          <w:sz w:val="24"/>
          <w:szCs w:val="24"/>
          <w:lang w:eastAsia="ro-RO"/>
        </w:rPr>
        <w:t>de Urbanism şi Amenajarea Teritoriului</w:t>
      </w:r>
      <w:r w:rsidRPr="008D0AA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 din cadrul Direcţiei Tehnice şi Serviciul Taxe şi impozite din cadrul Direcţiei Economice a </w:t>
      </w:r>
      <w:r w:rsidR="002D5071" w:rsidRPr="008D0AA4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>Primăriei</w:t>
      </w:r>
      <w:r w:rsidR="002D5071" w:rsidRPr="00B07303">
        <w:rPr>
          <w:rFonts w:ascii="Tahoma" w:eastAsia="Times New Roman" w:hAnsi="Tahoma" w:cs="Tahoma"/>
          <w:color w:val="000000"/>
          <w:lang w:eastAsia="ro-RO"/>
        </w:rPr>
        <w:t xml:space="preserve"> M</w:t>
      </w:r>
      <w:r w:rsidRPr="00B07303">
        <w:rPr>
          <w:rFonts w:ascii="Tahoma" w:eastAsia="Times New Roman" w:hAnsi="Tahoma" w:cs="Tahoma"/>
          <w:color w:val="000000"/>
          <w:lang w:eastAsia="ro-RO"/>
        </w:rPr>
        <w:t>unicipiului Dej.</w:t>
      </w:r>
    </w:p>
    <w:p w:rsidR="008D0AA4" w:rsidRDefault="008D0AA4" w:rsidP="00E61DB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o-RO"/>
        </w:rPr>
      </w:pPr>
    </w:p>
    <w:p w:rsidR="008D0AA4" w:rsidRDefault="008D0AA4" w:rsidP="00E61DB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o-RO"/>
        </w:rPr>
      </w:pPr>
    </w:p>
    <w:p w:rsidR="00E61DB9" w:rsidRPr="00E61DB9" w:rsidRDefault="00E61DB9" w:rsidP="00E61DB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o-RO"/>
        </w:rPr>
      </w:pPr>
      <w:r w:rsidRPr="00E61DB9">
        <w:rPr>
          <w:rFonts w:ascii="Tahoma" w:eastAsia="Times New Roman" w:hAnsi="Tahoma" w:cs="Tahoma"/>
          <w:b/>
          <w:sz w:val="24"/>
          <w:szCs w:val="24"/>
          <w:lang w:eastAsia="ro-RO"/>
        </w:rPr>
        <w:t>Preşedinte de şedinţă,</w:t>
      </w:r>
    </w:p>
    <w:p w:rsidR="00E61DB9" w:rsidRDefault="00920B2E" w:rsidP="00E61DB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o-RO"/>
        </w:rPr>
      </w:pPr>
      <w:proofErr w:type="spellStart"/>
      <w:r>
        <w:rPr>
          <w:rFonts w:ascii="Tahoma" w:eastAsia="Times New Roman" w:hAnsi="Tahoma" w:cs="Tahoma"/>
          <w:b/>
          <w:sz w:val="24"/>
          <w:szCs w:val="24"/>
          <w:lang w:eastAsia="ro-RO"/>
        </w:rPr>
        <w:t>Lazin</w:t>
      </w:r>
      <w:proofErr w:type="spellEnd"/>
      <w:r>
        <w:rPr>
          <w:rFonts w:ascii="Tahoma" w:eastAsia="Times New Roman" w:hAnsi="Tahoma" w:cs="Tahoma"/>
          <w:b/>
          <w:sz w:val="24"/>
          <w:szCs w:val="24"/>
          <w:lang w:eastAsia="ro-RO"/>
        </w:rPr>
        <w:t xml:space="preserve"> Sebastian Flaviu</w:t>
      </w:r>
    </w:p>
    <w:p w:rsidR="00B07303" w:rsidRDefault="00B07303" w:rsidP="00E61DB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o-RO"/>
        </w:rPr>
      </w:pPr>
    </w:p>
    <w:p w:rsidR="008D0AA4" w:rsidRDefault="008D0AA4" w:rsidP="00E61DB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o-RO"/>
        </w:rPr>
      </w:pPr>
    </w:p>
    <w:p w:rsidR="008D0AA4" w:rsidRDefault="008D0AA4" w:rsidP="00E61DB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o-RO"/>
        </w:rPr>
      </w:pPr>
    </w:p>
    <w:p w:rsidR="00E61DB9" w:rsidRPr="00E61DB9" w:rsidRDefault="00E61DB9" w:rsidP="00E61DB9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sz w:val="20"/>
          <w:szCs w:val="20"/>
          <w:lang w:eastAsia="ro-RO"/>
        </w:rPr>
      </w:pP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>Nr. consilieri în funcţie -  19</w:t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</w:p>
    <w:p w:rsidR="00E61DB9" w:rsidRPr="00E61DB9" w:rsidRDefault="008D0AA4" w:rsidP="00E61DB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o-RO"/>
        </w:rPr>
      </w:pPr>
      <w:r>
        <w:rPr>
          <w:rFonts w:ascii="Tahoma" w:eastAsia="Times New Roman" w:hAnsi="Tahoma" w:cs="Tahoma"/>
          <w:b/>
          <w:sz w:val="20"/>
          <w:szCs w:val="20"/>
          <w:lang w:eastAsia="ro-RO"/>
        </w:rPr>
        <w:tab/>
        <w:t>Nr. consilieri prezenţi   -  18</w:t>
      </w:r>
    </w:p>
    <w:p w:rsidR="00E61DB9" w:rsidRPr="00E61DB9" w:rsidRDefault="00E61DB9" w:rsidP="00E61DB9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sz w:val="20"/>
          <w:szCs w:val="20"/>
          <w:lang w:eastAsia="ro-RO"/>
        </w:rPr>
      </w:pP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>Nr. voturi pentru</w:t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  <w:t xml:space="preserve">   -  </w:t>
      </w:r>
      <w:r w:rsidR="008D0AA4">
        <w:rPr>
          <w:rFonts w:ascii="Tahoma" w:eastAsia="Times New Roman" w:hAnsi="Tahoma" w:cs="Tahoma"/>
          <w:b/>
          <w:sz w:val="20"/>
          <w:szCs w:val="20"/>
          <w:lang w:eastAsia="ro-RO"/>
        </w:rPr>
        <w:t>18</w:t>
      </w:r>
    </w:p>
    <w:p w:rsidR="00E61DB9" w:rsidRPr="00E61DB9" w:rsidRDefault="00E61DB9" w:rsidP="00E61DB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o-RO"/>
        </w:rPr>
      </w:pP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  <w:t>Nr. voturi împotrivă</w:t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  <w:t xml:space="preserve">   -   </w:t>
      </w:r>
    </w:p>
    <w:p w:rsidR="00E61DB9" w:rsidRPr="00E61DB9" w:rsidRDefault="00E61DB9" w:rsidP="00E61DB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o-RO"/>
        </w:rPr>
      </w:pP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  <w:t>Abţineri</w:t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  <w:t xml:space="preserve">               -  </w:t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sz w:val="20"/>
          <w:szCs w:val="20"/>
          <w:lang w:eastAsia="ro-RO"/>
        </w:rPr>
        <w:tab/>
        <w:t xml:space="preserve">        </w:t>
      </w:r>
      <w:r w:rsidR="00C06292">
        <w:rPr>
          <w:rFonts w:ascii="Tahoma" w:eastAsia="Times New Roman" w:hAnsi="Tahoma" w:cs="Tahoma"/>
          <w:sz w:val="20"/>
          <w:szCs w:val="20"/>
          <w:lang w:eastAsia="ro-RO"/>
        </w:rPr>
        <w:t xml:space="preserve"> </w:t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>Contrasemnează</w:t>
      </w:r>
    </w:p>
    <w:p w:rsidR="00700799" w:rsidRDefault="00E61DB9" w:rsidP="002D5071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o-RO"/>
        </w:rPr>
      </w:pP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  <w:t xml:space="preserve">               Secretar,</w:t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ab/>
        <w:t xml:space="preserve">                                  </w:t>
      </w:r>
      <w:r>
        <w:rPr>
          <w:rFonts w:ascii="Tahoma" w:eastAsia="Times New Roman" w:hAnsi="Tahoma" w:cs="Tahoma"/>
          <w:b/>
          <w:sz w:val="20"/>
          <w:szCs w:val="20"/>
          <w:lang w:eastAsia="ro-RO"/>
        </w:rPr>
        <w:t xml:space="preserve">                       </w:t>
      </w:r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 xml:space="preserve"> Covaciu </w:t>
      </w:r>
      <w:proofErr w:type="spellStart"/>
      <w:r w:rsidRPr="00E61DB9">
        <w:rPr>
          <w:rFonts w:ascii="Tahoma" w:eastAsia="Times New Roman" w:hAnsi="Tahoma" w:cs="Tahoma"/>
          <w:b/>
          <w:sz w:val="20"/>
          <w:szCs w:val="20"/>
          <w:lang w:eastAsia="ro-RO"/>
        </w:rPr>
        <w:t>Andron</w:t>
      </w:r>
      <w:proofErr w:type="spellEnd"/>
    </w:p>
    <w:sectPr w:rsidR="0070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70A"/>
    <w:multiLevelType w:val="hybridMultilevel"/>
    <w:tmpl w:val="6C44E85A"/>
    <w:lvl w:ilvl="0" w:tplc="834465F2">
      <w:start w:val="1"/>
      <w:numFmt w:val="decimal"/>
      <w:lvlText w:val="%1."/>
      <w:lvlJc w:val="left"/>
      <w:pPr>
        <w:ind w:left="735" w:hanging="360"/>
      </w:pPr>
      <w:rPr>
        <w:rFonts w:ascii="Tahoma" w:eastAsia="Times New Roman" w:hAnsi="Tahoma" w:cs="Tahoma"/>
        <w:b/>
      </w:rPr>
    </w:lvl>
    <w:lvl w:ilvl="1" w:tplc="04180019" w:tentative="1">
      <w:start w:val="1"/>
      <w:numFmt w:val="lowerLetter"/>
      <w:lvlText w:val="%2."/>
      <w:lvlJc w:val="left"/>
      <w:pPr>
        <w:ind w:left="1455" w:hanging="360"/>
      </w:pPr>
    </w:lvl>
    <w:lvl w:ilvl="2" w:tplc="0418001B" w:tentative="1">
      <w:start w:val="1"/>
      <w:numFmt w:val="lowerRoman"/>
      <w:lvlText w:val="%3."/>
      <w:lvlJc w:val="right"/>
      <w:pPr>
        <w:ind w:left="2175" w:hanging="180"/>
      </w:pPr>
    </w:lvl>
    <w:lvl w:ilvl="3" w:tplc="0418000F" w:tentative="1">
      <w:start w:val="1"/>
      <w:numFmt w:val="decimal"/>
      <w:lvlText w:val="%4."/>
      <w:lvlJc w:val="left"/>
      <w:pPr>
        <w:ind w:left="2895" w:hanging="360"/>
      </w:pPr>
    </w:lvl>
    <w:lvl w:ilvl="4" w:tplc="04180019" w:tentative="1">
      <w:start w:val="1"/>
      <w:numFmt w:val="lowerLetter"/>
      <w:lvlText w:val="%5."/>
      <w:lvlJc w:val="left"/>
      <w:pPr>
        <w:ind w:left="3615" w:hanging="360"/>
      </w:pPr>
    </w:lvl>
    <w:lvl w:ilvl="5" w:tplc="0418001B" w:tentative="1">
      <w:start w:val="1"/>
      <w:numFmt w:val="lowerRoman"/>
      <w:lvlText w:val="%6."/>
      <w:lvlJc w:val="right"/>
      <w:pPr>
        <w:ind w:left="4335" w:hanging="180"/>
      </w:pPr>
    </w:lvl>
    <w:lvl w:ilvl="6" w:tplc="0418000F" w:tentative="1">
      <w:start w:val="1"/>
      <w:numFmt w:val="decimal"/>
      <w:lvlText w:val="%7."/>
      <w:lvlJc w:val="left"/>
      <w:pPr>
        <w:ind w:left="5055" w:hanging="360"/>
      </w:pPr>
    </w:lvl>
    <w:lvl w:ilvl="7" w:tplc="04180019" w:tentative="1">
      <w:start w:val="1"/>
      <w:numFmt w:val="lowerLetter"/>
      <w:lvlText w:val="%8."/>
      <w:lvlJc w:val="left"/>
      <w:pPr>
        <w:ind w:left="5775" w:hanging="360"/>
      </w:pPr>
    </w:lvl>
    <w:lvl w:ilvl="8" w:tplc="041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A80A16"/>
    <w:multiLevelType w:val="hybridMultilevel"/>
    <w:tmpl w:val="409050A0"/>
    <w:lvl w:ilvl="0" w:tplc="AFE4488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834D4"/>
    <w:multiLevelType w:val="hybridMultilevel"/>
    <w:tmpl w:val="ABA20DAC"/>
    <w:lvl w:ilvl="0" w:tplc="51CECF6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99"/>
    <w:rsid w:val="0015148E"/>
    <w:rsid w:val="001C0D4D"/>
    <w:rsid w:val="002D5071"/>
    <w:rsid w:val="00457C6F"/>
    <w:rsid w:val="005A2F98"/>
    <w:rsid w:val="00700799"/>
    <w:rsid w:val="007F44F4"/>
    <w:rsid w:val="008049DC"/>
    <w:rsid w:val="008D0AA4"/>
    <w:rsid w:val="008E49A3"/>
    <w:rsid w:val="00905034"/>
    <w:rsid w:val="00920B2E"/>
    <w:rsid w:val="00944A80"/>
    <w:rsid w:val="0095209F"/>
    <w:rsid w:val="00A05CC7"/>
    <w:rsid w:val="00AF5092"/>
    <w:rsid w:val="00B07303"/>
    <w:rsid w:val="00B4404C"/>
    <w:rsid w:val="00B72041"/>
    <w:rsid w:val="00C06292"/>
    <w:rsid w:val="00C82D39"/>
    <w:rsid w:val="00CD439A"/>
    <w:rsid w:val="00D61AC3"/>
    <w:rsid w:val="00E61DB9"/>
    <w:rsid w:val="00F7745D"/>
    <w:rsid w:val="00F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0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0799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C3F26"/>
    <w:pPr>
      <w:ind w:left="720"/>
      <w:contextualSpacing/>
    </w:pPr>
  </w:style>
  <w:style w:type="table" w:styleId="GrilTabel">
    <w:name w:val="Table Grid"/>
    <w:basedOn w:val="TabelNormal"/>
    <w:uiPriority w:val="59"/>
    <w:rsid w:val="00B0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0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0799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C3F26"/>
    <w:pPr>
      <w:ind w:left="720"/>
      <w:contextualSpacing/>
    </w:pPr>
  </w:style>
  <w:style w:type="table" w:styleId="GrilTabel">
    <w:name w:val="Table Grid"/>
    <w:basedOn w:val="TabelNormal"/>
    <w:uiPriority w:val="59"/>
    <w:rsid w:val="00B0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hyperlink" Target="mailto:primaria@dej.ro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759acc70-c1d1-4908-9e79-3cf5e54540b8">
      <p:Name>Retenție</p:Name>
      <p:Description>Programarea automată a conținutului pentru procesare și efectuarea unei acțiuni de retenție a conținutului care a ajuns la data scadentă.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2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1" ma:contentTypeDescription="Tip de conținut pentru HCL" ma:contentTypeScope="" ma:versionID="bfe4ee8cd0881651055e50700660806a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3450502fff2aff262aa7000975d62fc9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2014-11-26T22:00:00+00:00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87</Număr_x0020_HCL>
    <_dlc_DocId xmlns="49ad8bbe-11e1-42b2-a965-6a341b5f7ad4">PMD14-83-1836</_dlc_DocId>
    <_dlc_DocIdUrl xmlns="49ad8bbe-11e1-42b2-a965-6a341b5f7ad4">
      <Url>http://smdoc/Situri/CL/_layouts/DocIdRedir.aspx?ID=PMD14-83-1836</Url>
      <Description>PMD14-83-1836</Description>
    </_dlc_DocIdUrl>
    <_dlc_ExpireDateSaved xmlns="http://schemas.microsoft.com/sharepoint/v3" xsi:nil="true"/>
    <_dlc_ExpireDate xmlns="http://schemas.microsoft.com/sharepoint/v3">2014-12-26T22:00:00+00:00</_dlc_ExpireDate>
  </documentManagement>
</p:properties>
</file>

<file path=customXml/itemProps1.xml><?xml version="1.0" encoding="utf-8"?>
<ds:datastoreItem xmlns:ds="http://schemas.openxmlformats.org/officeDocument/2006/customXml" ds:itemID="{CBFC8257-45D8-4F47-A6B6-419A7B72C71D}"/>
</file>

<file path=customXml/itemProps2.xml><?xml version="1.0" encoding="utf-8"?>
<ds:datastoreItem xmlns:ds="http://schemas.openxmlformats.org/officeDocument/2006/customXml" ds:itemID="{083C2FA4-3949-4D0F-A694-DB6455415542}"/>
</file>

<file path=customXml/itemProps3.xml><?xml version="1.0" encoding="utf-8"?>
<ds:datastoreItem xmlns:ds="http://schemas.openxmlformats.org/officeDocument/2006/customXml" ds:itemID="{68FA6C3F-80A7-4582-9AC6-8DD6FF83C4C5}"/>
</file>

<file path=customXml/itemProps4.xml><?xml version="1.0" encoding="utf-8"?>
<ds:datastoreItem xmlns:ds="http://schemas.openxmlformats.org/officeDocument/2006/customXml" ds:itemID="{C1787AAD-2BDA-4CA6-B6D6-8E53BB7EC087}"/>
</file>

<file path=customXml/itemProps5.xml><?xml version="1.0" encoding="utf-8"?>
<ds:datastoreItem xmlns:ds="http://schemas.openxmlformats.org/officeDocument/2006/customXml" ds:itemID="{B7EBA7B3-1104-48A6-8158-669ADFAC54EA}"/>
</file>

<file path=customXml/itemProps6.xml><?xml version="1.0" encoding="utf-8"?>
<ds:datastoreItem xmlns:ds="http://schemas.openxmlformats.org/officeDocument/2006/customXml" ds:itemID="{CE98674C-CCBF-4A37-AB37-6BBACAF47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570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aprobarea prelungirii contractelor</dc:subject>
  <dc:creator>Elena Mereuță</dc:creator>
  <dc:description/>
  <cp:lastModifiedBy>Elena Mereuță</cp:lastModifiedBy>
  <cp:revision>11</cp:revision>
  <cp:lastPrinted>2014-11-04T08:55:00Z</cp:lastPrinted>
  <dcterms:created xsi:type="dcterms:W3CDTF">2014-11-21T10:03:00Z</dcterms:created>
  <dcterms:modified xsi:type="dcterms:W3CDTF">2014-11-28T09:17:00Z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0x01010043E6431A8687164692561BE4B8E2B9C600B9DBA2A09EED1E4B8F18AABCAE5737FE</vt:lpwstr>
  </property>
  <property fmtid="{D5CDD505-2E9C-101B-9397-08002B2CF9AE}" pid="3" name="_dlc_policyId">
    <vt:lpwstr>0x01010043E6431A8687164692561BE4B8E2B9C600B9DBA2A09EED1E4B8F18AABCAE5737FE|774005314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Data_x005f_x0020_HCL0&lt;/property&gt;&lt;propertyId&gt;3d585b3c-f5f7-4e66-ba18-3dc2fc7c8a6a&lt;/propertyId&gt;&lt;period&gt;months&lt;/period&gt;&lt;/formula&gt;</vt:lpwstr>
  </property>
  <property fmtid="{D5CDD505-2E9C-101B-9397-08002B2CF9AE}" pid="5" name="_dlc_DocIdItemGuid">
    <vt:lpwstr>d8d20c7a-8ca2-4158-a346-e80bc13d987b</vt:lpwstr>
  </property>
</Properties>
</file>