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E9C78C8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9306078" w14:textId="77777777" w:rsidR="00864710" w:rsidRPr="00D522E6" w:rsidRDefault="0008095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5FB5601" wp14:editId="661F1B5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FF1B44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69F16F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03FBFA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8A8CBB9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E4BADD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2852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8590E8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B8F7A29" w14:textId="77777777" w:rsidR="002573EA" w:rsidRPr="00CC5831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C5831"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FC73E2">
        <w:rPr>
          <w:rFonts w:ascii="Tahoma" w:hAnsi="Tahoma" w:cs="Tahoma"/>
          <w:sz w:val="24"/>
          <w:szCs w:val="24"/>
          <w:u w:val="single"/>
          <w:lang w:val="fr-FR"/>
        </w:rPr>
        <w:t>A Nr. 30</w:t>
      </w:r>
    </w:p>
    <w:p w14:paraId="6A4E28F2" w14:textId="77777777" w:rsidR="002573EA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C73E2">
        <w:rPr>
          <w:rFonts w:ascii="Tahoma" w:hAnsi="Tahoma" w:cs="Tahoma"/>
          <w:b/>
          <w:sz w:val="24"/>
          <w:szCs w:val="24"/>
          <w:lang w:val="fr-FR"/>
        </w:rPr>
        <w:t>11</w:t>
      </w:r>
      <w:r w:rsidR="00CC5831" w:rsidRPr="00CC5831">
        <w:rPr>
          <w:rFonts w:ascii="Tahoma" w:hAnsi="Tahoma" w:cs="Tahoma"/>
          <w:b/>
          <w:sz w:val="24"/>
          <w:szCs w:val="24"/>
          <w:lang w:val="fr-FR"/>
        </w:rPr>
        <w:t xml:space="preserve"> martie</w:t>
      </w:r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385B2A4" w14:textId="77777777" w:rsidR="003A1AA3" w:rsidRPr="00CC5831" w:rsidRDefault="003A1AA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</w:p>
    <w:p w14:paraId="4B23188A" w14:textId="77777777" w:rsidR="003A1AA3" w:rsidRDefault="009F4043" w:rsidP="004A50C5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CC58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2221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însușirea demersurilor </w:t>
      </w:r>
      <w:r w:rsidR="004A50C5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Primarului Municipiului Dej </w:t>
      </w:r>
    </w:p>
    <w:p w14:paraId="1C71539B" w14:textId="77777777" w:rsidR="00D0041E" w:rsidRDefault="004A50C5" w:rsidP="004A50C5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efectuate în Dosarele Nr. 1.804/219/2003, 1.805/219/2013 și 1.581/219/2014</w:t>
      </w:r>
    </w:p>
    <w:p w14:paraId="42A1233F" w14:textId="77777777" w:rsidR="004A50C5" w:rsidRDefault="004A50C5" w:rsidP="004A50C5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în numele consiliului local</w:t>
      </w:r>
      <w:r w:rsidR="00DB2221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Dej</w:t>
      </w:r>
    </w:p>
    <w:p w14:paraId="3AD1FBBB" w14:textId="77777777" w:rsidR="003A1AA3" w:rsidRDefault="003A1AA3" w:rsidP="004A50C5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</w:p>
    <w:p w14:paraId="24B31897" w14:textId="77777777" w:rsidR="003A1AA3" w:rsidRDefault="003A1AA3" w:rsidP="004A50C5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</w:p>
    <w:p w14:paraId="05C322AA" w14:textId="77777777" w:rsidR="003A1AA3" w:rsidRDefault="003A1AA3" w:rsidP="004A50C5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</w:p>
    <w:p w14:paraId="2A158403" w14:textId="77777777" w:rsidR="00CC5831" w:rsidRPr="00D0041E" w:rsidRDefault="00CC5831" w:rsidP="00CC5831">
      <w:pPr>
        <w:jc w:val="center"/>
        <w:rPr>
          <w:rFonts w:ascii="Tahoma" w:hAnsi="Tahoma" w:cs="Tahoma"/>
          <w:b/>
          <w:caps/>
          <w:noProof/>
          <w:color w:val="000000"/>
          <w:sz w:val="24"/>
          <w:szCs w:val="24"/>
          <w:u w:val="single"/>
          <w:lang w:val="ro-RO"/>
        </w:rPr>
      </w:pPr>
    </w:p>
    <w:p w14:paraId="16764008" w14:textId="77777777" w:rsidR="00FC73E2" w:rsidRPr="00C91DA3" w:rsidRDefault="00FC73E2" w:rsidP="00FC73E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>
        <w:rPr>
          <w:rFonts w:ascii="Tahoma" w:hAnsi="Tahoma" w:cs="Tahoma"/>
          <w:sz w:val="24"/>
          <w:szCs w:val="24"/>
          <w:lang w:val="fr-FR"/>
        </w:rPr>
        <w:t>de îndată</w:t>
      </w:r>
      <w:r>
        <w:rPr>
          <w:rFonts w:ascii="Tahoma" w:hAnsi="Tahoma" w:cs="Tahoma"/>
          <w:sz w:val="24"/>
          <w:szCs w:val="24"/>
          <w:lang w:val="ro-RO"/>
        </w:rPr>
        <w:t xml:space="preserve"> din data de 11 martie 2015;</w:t>
      </w:r>
    </w:p>
    <w:p w14:paraId="51833DAF" w14:textId="77777777" w:rsidR="00DB2221" w:rsidRPr="005C50F1" w:rsidRDefault="00FC73E2" w:rsidP="00FC73E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Pr="00546EA7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Pr="00546EA7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5C50F1">
        <w:rPr>
          <w:rFonts w:ascii="Tahoma" w:hAnsi="Tahoma" w:cs="Tahoma"/>
          <w:sz w:val="24"/>
          <w:szCs w:val="24"/>
          <w:lang w:val="fr-FR"/>
        </w:rPr>
        <w:t>. întocmit în baza</w:t>
      </w:r>
      <w:r w:rsidR="004A50C5">
        <w:rPr>
          <w:rFonts w:ascii="Tahoma" w:hAnsi="Tahoma" w:cs="Tahoma"/>
          <w:sz w:val="24"/>
          <w:szCs w:val="24"/>
          <w:lang w:val="ro-RO"/>
        </w:rPr>
        <w:t xml:space="preserve"> Raportul</w:t>
      </w:r>
      <w:r w:rsidR="005C50F1">
        <w:rPr>
          <w:rFonts w:ascii="Tahoma" w:hAnsi="Tahoma" w:cs="Tahoma"/>
          <w:sz w:val="24"/>
          <w:szCs w:val="24"/>
          <w:lang w:val="ro-RO"/>
        </w:rPr>
        <w:t>ui</w:t>
      </w:r>
      <w:r w:rsidR="004A50C5">
        <w:rPr>
          <w:rFonts w:ascii="Tahoma" w:hAnsi="Tahoma" w:cs="Tahoma"/>
          <w:sz w:val="24"/>
          <w:szCs w:val="24"/>
          <w:lang w:val="ro-RO"/>
        </w:rPr>
        <w:t xml:space="preserve"> Nr.</w:t>
      </w:r>
      <w:r>
        <w:rPr>
          <w:rFonts w:ascii="Tahoma" w:hAnsi="Tahoma" w:cs="Tahoma"/>
          <w:sz w:val="24"/>
          <w:szCs w:val="24"/>
          <w:lang w:val="ro-RO"/>
        </w:rPr>
        <w:t xml:space="preserve"> 5.077 </w:t>
      </w:r>
      <w:r w:rsidR="004A50C5">
        <w:rPr>
          <w:rFonts w:ascii="Tahoma" w:hAnsi="Tahoma" w:cs="Tahoma"/>
          <w:sz w:val="24"/>
          <w:szCs w:val="24"/>
          <w:lang w:val="ro-RO"/>
        </w:rPr>
        <w:t>din 11 martie 2015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="004A50C5">
        <w:rPr>
          <w:rFonts w:ascii="Tahoma" w:hAnsi="Tahoma" w:cs="Tahoma"/>
          <w:sz w:val="24"/>
          <w:szCs w:val="24"/>
          <w:lang w:val="ro-RO"/>
        </w:rPr>
        <w:t xml:space="preserve"> al Compartimentului J</w:t>
      </w:r>
      <w:r w:rsidR="005C50F1">
        <w:rPr>
          <w:rFonts w:ascii="Tahoma" w:hAnsi="Tahoma" w:cs="Tahoma"/>
          <w:sz w:val="24"/>
          <w:szCs w:val="24"/>
          <w:lang w:val="ro-RO"/>
        </w:rPr>
        <w:t>uridic din cadrul Primăriei Mun</w:t>
      </w:r>
      <w:r w:rsidR="004A50C5">
        <w:rPr>
          <w:rFonts w:ascii="Tahoma" w:hAnsi="Tahoma" w:cs="Tahoma"/>
          <w:sz w:val="24"/>
          <w:szCs w:val="24"/>
          <w:lang w:val="ro-RO"/>
        </w:rPr>
        <w:t xml:space="preserve">icipiului Dej, prin care se propune consiliului local </w:t>
      </w:r>
      <w:r w:rsidR="00DB2221">
        <w:rPr>
          <w:rFonts w:ascii="Tahoma" w:hAnsi="Tahoma" w:cs="Tahoma"/>
          <w:sz w:val="24"/>
          <w:szCs w:val="24"/>
          <w:lang w:val="ro-RO"/>
        </w:rPr>
        <w:t>să impute</w:t>
      </w:r>
      <w:r w:rsidR="003A1AA3">
        <w:rPr>
          <w:rFonts w:ascii="Tahoma" w:hAnsi="Tahoma" w:cs="Tahoma"/>
          <w:sz w:val="24"/>
          <w:szCs w:val="24"/>
          <w:lang w:val="ro-RO"/>
        </w:rPr>
        <w:t xml:space="preserve">rnicească pe Primarul Municipiului </w:t>
      </w:r>
      <w:r w:rsidR="00DB2221">
        <w:rPr>
          <w:rFonts w:ascii="Tahoma" w:hAnsi="Tahoma" w:cs="Tahoma"/>
          <w:sz w:val="24"/>
          <w:szCs w:val="24"/>
          <w:lang w:val="ro-RO"/>
        </w:rPr>
        <w:t>Dej să-și însușească și să efetue</w:t>
      </w:r>
      <w:r w:rsidR="003A1AA3">
        <w:rPr>
          <w:rFonts w:ascii="Tahoma" w:hAnsi="Tahoma" w:cs="Tahoma"/>
          <w:sz w:val="24"/>
          <w:szCs w:val="24"/>
          <w:lang w:val="ro-RO"/>
        </w:rPr>
        <w:t>ze demersurile necesare la inst</w:t>
      </w:r>
      <w:r w:rsidR="00DB2221">
        <w:rPr>
          <w:rFonts w:ascii="Tahoma" w:hAnsi="Tahoma" w:cs="Tahoma"/>
          <w:sz w:val="24"/>
          <w:szCs w:val="24"/>
          <w:lang w:val="ro-RO"/>
        </w:rPr>
        <w:t>anțele de judecată în Dosarele Nr.</w:t>
      </w:r>
      <w:r w:rsidR="00DB2221" w:rsidRPr="00DB2221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</w:t>
      </w:r>
      <w:r w:rsidR="00DB2221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1.804/219/2003, 1</w:t>
      </w:r>
      <w:r w:rsidR="005C50F1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.805/219/2013 și 1.581/219/2014, </w:t>
      </w:r>
      <w:r w:rsidR="005C50F1">
        <w:rPr>
          <w:rFonts w:ascii="Tahoma" w:hAnsi="Tahoma" w:cs="Tahoma"/>
          <w:noProof/>
          <w:color w:val="000000"/>
          <w:sz w:val="24"/>
          <w:szCs w:val="24"/>
          <w:lang w:val="ro-RO"/>
        </w:rPr>
        <w:t>proiect de hotărâre avizat favorabil în ședința comisiei juridice din data de 11 martie 2015;</w:t>
      </w:r>
    </w:p>
    <w:p w14:paraId="32E2470E" w14:textId="77777777" w:rsidR="002741D3" w:rsidRDefault="00DB2221" w:rsidP="00DB2221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B2221">
        <w:rPr>
          <w:rFonts w:ascii="Tahoma" w:hAnsi="Tahoma" w:cs="Tahoma"/>
          <w:noProof/>
          <w:color w:val="000000"/>
          <w:sz w:val="24"/>
          <w:szCs w:val="24"/>
          <w:lang w:val="ro-RO"/>
        </w:rPr>
        <w:t>În baza p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revederilor </w:t>
      </w:r>
      <w:r w:rsidR="003A1AA3">
        <w:rPr>
          <w:rFonts w:ascii="Tahoma" w:hAnsi="Tahoma" w:cs="Tahoma"/>
          <w:noProof/>
          <w:color w:val="000000"/>
          <w:sz w:val="24"/>
          <w:szCs w:val="24"/>
        </w:rPr>
        <w:t>‘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art. 21</w:t>
      </w:r>
      <w:r w:rsidR="003A1AA3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, alin. </w:t>
      </w:r>
      <w:r w:rsidR="003A1AA3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2</w:t>
      </w:r>
      <w:r w:rsidR="003A1AA3">
        <w:rPr>
          <w:rFonts w:ascii="Tahoma" w:hAnsi="Tahoma" w:cs="Tahoma"/>
          <w:noProof/>
          <w:color w:val="000000"/>
          <w:sz w:val="24"/>
          <w:szCs w:val="24"/>
          <w:lang w:val="ro-RO"/>
        </w:rPr>
        <w:t>) și 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art. 45</w:t>
      </w:r>
      <w:r w:rsidR="003A1AA3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, alin. </w:t>
      </w:r>
      <w:r w:rsidR="003A1AA3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1</w:t>
      </w:r>
      <w:r w:rsidR="003A1AA3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2741D3" w:rsidRPr="00D0041E">
        <w:rPr>
          <w:rFonts w:ascii="Tahoma" w:hAnsi="Tahoma" w:cs="Tahoma"/>
          <w:sz w:val="24"/>
          <w:szCs w:val="24"/>
          <w:lang w:val="ro-RO"/>
        </w:rPr>
        <w:t>din Legea Nr. 215/2001 a administrației publice locale,</w:t>
      </w:r>
      <w:r w:rsidR="000C26F5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 ulterioare,</w:t>
      </w:r>
    </w:p>
    <w:p w14:paraId="2DCCADD1" w14:textId="77777777" w:rsidR="00D0041E" w:rsidRDefault="00D0041E" w:rsidP="00D0041E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2034FA94" w14:textId="77777777" w:rsidR="003A1AA3" w:rsidRPr="00D0041E" w:rsidRDefault="003A1AA3" w:rsidP="00D0041E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2B7DB677" w14:textId="77777777" w:rsidR="00D0041E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</w:t>
      </w:r>
    </w:p>
    <w:p w14:paraId="10CDBDA3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</w:t>
      </w:r>
    </w:p>
    <w:p w14:paraId="3FF0D7DA" w14:textId="77777777" w:rsidR="00DB2221" w:rsidRPr="00DB2221" w:rsidRDefault="00C91DA3" w:rsidP="00DB2221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DB2221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unic.</w:t>
      </w:r>
      <w:r w:rsidR="00FC73E2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 w:rsidR="00DB2221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DB2221">
        <w:rPr>
          <w:rFonts w:ascii="Tahoma" w:hAnsi="Tahoma" w:cs="Tahoma"/>
          <w:sz w:val="24"/>
          <w:szCs w:val="24"/>
          <w:lang w:val="ro-RO"/>
        </w:rPr>
        <w:t xml:space="preserve">însușirea demersurilor </w:t>
      </w:r>
      <w:r w:rsidR="00DB2221" w:rsidRPr="00DB2221">
        <w:rPr>
          <w:rFonts w:ascii="Tahoma" w:hAnsi="Tahoma" w:cs="Tahoma"/>
          <w:b/>
          <w:sz w:val="24"/>
          <w:szCs w:val="24"/>
          <w:lang w:val="ro-RO"/>
        </w:rPr>
        <w:t>primarului Municipiului Dej, MORAR COSTAN</w:t>
      </w:r>
      <w:r w:rsidR="00DB2221">
        <w:rPr>
          <w:rFonts w:ascii="Tahoma" w:hAnsi="Tahoma" w:cs="Tahoma"/>
          <w:sz w:val="24"/>
          <w:szCs w:val="24"/>
          <w:lang w:val="ro-RO"/>
        </w:rPr>
        <w:t xml:space="preserve"> efectuate în Dosarele </w:t>
      </w:r>
      <w:r w:rsidR="00DB2221">
        <w:rPr>
          <w:rFonts w:ascii="Tahoma" w:hAnsi="Tahoma" w:cs="Tahoma"/>
          <w:b/>
          <w:sz w:val="24"/>
          <w:szCs w:val="24"/>
          <w:lang w:val="ro-RO"/>
        </w:rPr>
        <w:t xml:space="preserve">Nr. </w:t>
      </w:r>
      <w:r w:rsidR="00DB2221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1.804/219/2003, 1.805/219/2013 și 1.581/219/2014 </w:t>
      </w:r>
      <w:r w:rsidR="003A1AA3">
        <w:rPr>
          <w:rFonts w:ascii="Tahoma" w:hAnsi="Tahoma" w:cs="Tahoma"/>
          <w:noProof/>
          <w:color w:val="000000"/>
          <w:sz w:val="24"/>
          <w:szCs w:val="24"/>
          <w:lang w:val="ro-RO"/>
        </w:rPr>
        <w:t>în numele Consiliului L</w:t>
      </w:r>
      <w:r w:rsidR="00DB2221">
        <w:rPr>
          <w:rFonts w:ascii="Tahoma" w:hAnsi="Tahoma" w:cs="Tahoma"/>
          <w:noProof/>
          <w:color w:val="000000"/>
          <w:sz w:val="24"/>
          <w:szCs w:val="24"/>
          <w:lang w:val="ro-RO"/>
        </w:rPr>
        <w:t>ocal</w:t>
      </w:r>
      <w:r w:rsidR="003A1AA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Dej</w:t>
      </w:r>
      <w:r w:rsidR="00DB2221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</w:p>
    <w:p w14:paraId="1595A488" w14:textId="77777777" w:rsidR="00A374BC" w:rsidRDefault="00A374BC" w:rsidP="00DB2221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28D5C32F" w14:textId="77777777" w:rsidR="00DB2221" w:rsidRDefault="00DB2221" w:rsidP="00DB2221">
      <w:pPr>
        <w:ind w:firstLine="720"/>
        <w:jc w:val="center"/>
        <w:rPr>
          <w:rFonts w:ascii="Tahoma" w:hAnsi="Tahoma" w:cs="Tahoma"/>
          <w:sz w:val="24"/>
          <w:szCs w:val="24"/>
          <w:lang w:val="ro-RO"/>
        </w:rPr>
      </w:pPr>
    </w:p>
    <w:p w14:paraId="2BADAA62" w14:textId="77777777" w:rsidR="00DB2221" w:rsidRDefault="00DB2221" w:rsidP="00DB2221">
      <w:pPr>
        <w:ind w:firstLine="720"/>
        <w:jc w:val="center"/>
        <w:rPr>
          <w:rFonts w:ascii="Tahoma" w:hAnsi="Tahoma" w:cs="Tahoma"/>
          <w:sz w:val="24"/>
          <w:szCs w:val="24"/>
          <w:lang w:val="ro-RO"/>
        </w:rPr>
      </w:pPr>
    </w:p>
    <w:p w14:paraId="406E2FF1" w14:textId="77777777" w:rsidR="00DB2221" w:rsidRPr="00FC73E2" w:rsidRDefault="00DB2221" w:rsidP="00DB2221">
      <w:pPr>
        <w:ind w:firstLine="720"/>
        <w:jc w:val="center"/>
        <w:rPr>
          <w:rFonts w:ascii="Tahoma" w:hAnsi="Tahoma" w:cs="Tahoma"/>
          <w:sz w:val="24"/>
          <w:szCs w:val="24"/>
          <w:u w:val="single"/>
          <w:lang w:val="ro-RO"/>
        </w:rPr>
      </w:pPr>
    </w:p>
    <w:p w14:paraId="5E320F2F" w14:textId="77777777" w:rsidR="00FC73E2" w:rsidRPr="00546EA7" w:rsidRDefault="00FC73E2" w:rsidP="00FC73E2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Preşedinte de şedinţă,</w:t>
      </w:r>
    </w:p>
    <w:p w14:paraId="417D67B9" w14:textId="77777777" w:rsidR="00FC73E2" w:rsidRDefault="00FC73E2" w:rsidP="00FC73E2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Butuza Marius Cornel</w:t>
      </w:r>
    </w:p>
    <w:p w14:paraId="03010265" w14:textId="77777777" w:rsidR="00FC73E2" w:rsidRDefault="00FC73E2" w:rsidP="00FC73E2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8C59C87" w14:textId="77777777" w:rsidR="00FC73E2" w:rsidRPr="00546EA7" w:rsidRDefault="00FC73E2" w:rsidP="00FC73E2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012DDF5" w14:textId="77777777" w:rsidR="00FC73E2" w:rsidRPr="00546EA7" w:rsidRDefault="00FC73E2" w:rsidP="00FC73E2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ED9D499" w14:textId="77777777" w:rsidR="00FC73E2" w:rsidRPr="00546EA7" w:rsidRDefault="00FC73E2" w:rsidP="00FC73E2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5BDCE31" w14:textId="77777777" w:rsidR="00FC73E2" w:rsidRPr="00546EA7" w:rsidRDefault="00FC73E2" w:rsidP="00FC73E2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3D9C1B1F" w14:textId="77777777" w:rsidR="00FC73E2" w:rsidRPr="00546EA7" w:rsidRDefault="00FC73E2" w:rsidP="00FC73E2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>
        <w:rPr>
          <w:rFonts w:ascii="Tahoma" w:hAnsi="Tahoma" w:cs="Tahoma"/>
          <w:b/>
          <w:lang w:val="fr-FR"/>
        </w:rPr>
        <w:t xml:space="preserve"> 13</w:t>
      </w:r>
      <w:r w:rsidRPr="00546EA7">
        <w:rPr>
          <w:rFonts w:ascii="Tahoma" w:hAnsi="Tahoma" w:cs="Tahoma"/>
          <w:b/>
          <w:lang w:val="fr-FR"/>
        </w:rPr>
        <w:t xml:space="preserve"> </w:t>
      </w:r>
    </w:p>
    <w:p w14:paraId="28C94EA1" w14:textId="77777777" w:rsidR="00FC73E2" w:rsidRPr="00546EA7" w:rsidRDefault="00FC73E2" w:rsidP="00FC73E2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 </w:t>
      </w:r>
      <w:r>
        <w:rPr>
          <w:rFonts w:ascii="Tahoma" w:hAnsi="Tahoma" w:cs="Tahoma"/>
          <w:b/>
          <w:lang w:val="fr-FR"/>
        </w:rPr>
        <w:t>13</w:t>
      </w:r>
    </w:p>
    <w:p w14:paraId="4DDA2C36" w14:textId="77777777" w:rsidR="00FC73E2" w:rsidRPr="00546EA7" w:rsidRDefault="00FC73E2" w:rsidP="00FC73E2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45DEF686" w14:textId="77777777" w:rsidR="00FC73E2" w:rsidRPr="00841556" w:rsidRDefault="00FC73E2" w:rsidP="00FC73E2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>Abţineri</w:t>
      </w:r>
      <w:r w:rsidRPr="00841556">
        <w:rPr>
          <w:rFonts w:ascii="Tahoma" w:hAnsi="Tahoma" w:cs="Tahoma"/>
          <w:b/>
          <w:lang w:val="fr-FR"/>
        </w:rPr>
        <w:tab/>
        <w:t xml:space="preserve">               -  </w:t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lang w:val="fr-FR"/>
        </w:rPr>
        <w:tab/>
        <w:t xml:space="preserve">        </w:t>
      </w:r>
      <w:r w:rsidRPr="00841556">
        <w:rPr>
          <w:rFonts w:ascii="Tahoma" w:hAnsi="Tahoma" w:cs="Tahoma"/>
          <w:b/>
          <w:lang w:val="fr-FR"/>
        </w:rPr>
        <w:t>Contrasemnează</w:t>
      </w:r>
    </w:p>
    <w:p w14:paraId="15A44388" w14:textId="77777777" w:rsidR="00FC73E2" w:rsidRPr="00841556" w:rsidRDefault="00FC73E2" w:rsidP="00FC73E2">
      <w:pPr>
        <w:jc w:val="both"/>
        <w:rPr>
          <w:rFonts w:ascii="Tahoma" w:hAnsi="Tahoma" w:cs="Tahoma"/>
          <w:b/>
          <w:lang w:val="fr-FR"/>
        </w:rPr>
      </w:pP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  <w:t xml:space="preserve">             Secretar,</w:t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  <w:t xml:space="preserve">                                                                   Covaciu Andron</w:t>
      </w:r>
    </w:p>
    <w:p w14:paraId="59BF6B82" w14:textId="77777777" w:rsidR="00FC73E2" w:rsidRPr="00841556" w:rsidRDefault="00FC73E2" w:rsidP="00FC73E2">
      <w:pPr>
        <w:jc w:val="center"/>
        <w:rPr>
          <w:lang w:val="fr-FR"/>
        </w:rPr>
      </w:pPr>
    </w:p>
    <w:p w14:paraId="1F8C2F6C" w14:textId="77777777" w:rsidR="00FC73E2" w:rsidRPr="00841556" w:rsidRDefault="00FC73E2" w:rsidP="00FC73E2">
      <w:pPr>
        <w:jc w:val="both"/>
        <w:rPr>
          <w:rFonts w:ascii="Tahoma" w:hAnsi="Tahoma" w:cs="Tahoma"/>
          <w:b/>
          <w:i/>
          <w:lang w:val="fr-FR"/>
        </w:rPr>
      </w:pP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</w:r>
      <w:r w:rsidRPr="00841556">
        <w:rPr>
          <w:rFonts w:ascii="Tahoma" w:hAnsi="Tahoma" w:cs="Tahoma"/>
          <w:b/>
          <w:lang w:val="fr-FR"/>
        </w:rPr>
        <w:tab/>
        <w:t xml:space="preserve">   </w:t>
      </w:r>
    </w:p>
    <w:p w14:paraId="600409DD" w14:textId="77777777" w:rsidR="00DB2221" w:rsidRPr="00DB2221" w:rsidRDefault="00DB2221" w:rsidP="00FC73E2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sectPr w:rsidR="00DB2221" w:rsidRPr="00DB2221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80958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03D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1AA3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2615E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50C5"/>
    <w:rsid w:val="004A7167"/>
    <w:rsid w:val="004C0D88"/>
    <w:rsid w:val="004C2755"/>
    <w:rsid w:val="004D1AC3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55120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C50F1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34A0"/>
    <w:rsid w:val="006079B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62F0C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183C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6E5D"/>
    <w:rsid w:val="00897554"/>
    <w:rsid w:val="008B2869"/>
    <w:rsid w:val="008B4281"/>
    <w:rsid w:val="008C3B64"/>
    <w:rsid w:val="008C5C98"/>
    <w:rsid w:val="008C703A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7219B"/>
    <w:rsid w:val="00B74644"/>
    <w:rsid w:val="00B90537"/>
    <w:rsid w:val="00B945D5"/>
    <w:rsid w:val="00B96510"/>
    <w:rsid w:val="00BC09C4"/>
    <w:rsid w:val="00BC149A"/>
    <w:rsid w:val="00BC5524"/>
    <w:rsid w:val="00BD321E"/>
    <w:rsid w:val="00BE2A91"/>
    <w:rsid w:val="00BF1D84"/>
    <w:rsid w:val="00BF606A"/>
    <w:rsid w:val="00C24149"/>
    <w:rsid w:val="00C279E2"/>
    <w:rsid w:val="00C31A1F"/>
    <w:rsid w:val="00C31D21"/>
    <w:rsid w:val="00C32295"/>
    <w:rsid w:val="00C32E3D"/>
    <w:rsid w:val="00C364A2"/>
    <w:rsid w:val="00C47D42"/>
    <w:rsid w:val="00C51E3D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5831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2221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C73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A06454"/>
  <w15:chartTrackingRefBased/>
  <w15:docId w15:val="{7ED27F93-AA3F-4542-B532-45DEA50A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2015-03-10T22:00:00+00:00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30</Număr_x0020_HCL>
    <_dlc_DocId xmlns="49ad8bbe-11e1-42b2-a965-6a341b5f7ad4">PMD15-83-1938</_dlc_DocId>
    <_dlc_DocIdUrl xmlns="49ad8bbe-11e1-42b2-a965-6a341b5f7ad4">
      <Url>http://smdoc/Situri/CL/_layouts/15/DocIdRedir.aspx?ID=PMD15-83-1938</Url>
      <Description>PMD15-83-1938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CC1171-BA4D-4354-8BBF-5E2FD0C9F355}"/>
</file>

<file path=customXml/itemProps2.xml><?xml version="1.0" encoding="utf-8"?>
<ds:datastoreItem xmlns:ds="http://schemas.openxmlformats.org/officeDocument/2006/customXml" ds:itemID="{E4516C0F-6AFF-4FC0-97B5-D0B6B28248E3}"/>
</file>

<file path=customXml/itemProps3.xml><?xml version="1.0" encoding="utf-8"?>
<ds:datastoreItem xmlns:ds="http://schemas.openxmlformats.org/officeDocument/2006/customXml" ds:itemID="{3929E023-1B9B-4CD5-A412-D8EB70250D90}"/>
</file>

<file path=customXml/itemProps4.xml><?xml version="1.0" encoding="utf-8"?>
<ds:datastoreItem xmlns:ds="http://schemas.openxmlformats.org/officeDocument/2006/customXml" ds:itemID="{1277C83E-4564-481E-9E1F-47F352FE49FA}"/>
</file>

<file path=customXml/itemProps5.xml><?xml version="1.0" encoding="utf-8"?>
<ds:datastoreItem xmlns:ds="http://schemas.openxmlformats.org/officeDocument/2006/customXml" ds:itemID="{6CEC6F96-25D9-477E-BBAC-4F31710192CC}"/>
</file>

<file path=customXml/itemProps6.xml><?xml version="1.0" encoding="utf-8"?>
<ds:datastoreItem xmlns:ds="http://schemas.openxmlformats.org/officeDocument/2006/customXml" ds:itemID="{5C9C71BA-1316-42DD-A458-00B920ABF9B3}"/>
</file>

<file path=customXml/itemProps7.xml><?xml version="1.0" encoding="utf-8"?>
<ds:datastoreItem xmlns:ds="http://schemas.openxmlformats.org/officeDocument/2006/customXml" ds:itemID="{1E6D4CE7-964C-40D5-B5C5-BF92C3E8A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1870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demersuri instanta primar</dc:subject>
  <dc:creator>Simona</dc:creator>
  <cp:keywords/>
  <cp:lastModifiedBy>Cristi.Rusu</cp:lastModifiedBy>
  <cp:revision>2</cp:revision>
  <cp:lastPrinted>2015-02-03T09:14:00Z</cp:lastPrinted>
  <dcterms:created xsi:type="dcterms:W3CDTF">2015-04-17T05:24:00Z</dcterms:created>
  <dcterms:modified xsi:type="dcterms:W3CDTF">2015-04-17T05:24:00Z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PMD15-83-1924</vt:lpwstr>
  </property>
  <property fmtid="{D5CDD505-2E9C-101B-9397-08002B2CF9AE}" pid="3" name="_dlc_DocIdItemGuid">
    <vt:lpwstr>4d4b9c30-1bba-4387-8c6a-b2359714e3fc</vt:lpwstr>
  </property>
  <property fmtid="{D5CDD505-2E9C-101B-9397-08002B2CF9AE}" pid="4" name="_dlc_DocIdUrl">
    <vt:lpwstr>http://smdoc/Situri/CL/_layouts/15/DocIdRedir.aspx?ID=PMD15-83-1924, PMD15-83-1924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