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034F2CC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9D44BDB" w14:textId="77777777" w:rsidR="00864710" w:rsidRPr="00D522E6" w:rsidRDefault="008576B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9A399F1" wp14:editId="3455758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06EE7E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9C440F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8FE3E9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CB328E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66C071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33D8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9599750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D0E9F3E" w14:textId="77777777" w:rsidR="00D05AAD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B12690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EA3E3A">
        <w:rPr>
          <w:rFonts w:ascii="Tahoma" w:hAnsi="Tahoma" w:cs="Tahoma"/>
          <w:b/>
          <w:sz w:val="24"/>
          <w:szCs w:val="24"/>
          <w:u w:val="single"/>
          <w:lang w:val="fr-FR"/>
        </w:rPr>
        <w:t>141</w:t>
      </w:r>
    </w:p>
    <w:p w14:paraId="44FFFCCB" w14:textId="77777777" w:rsidR="00C80C31" w:rsidRPr="00C80C31" w:rsidRDefault="004514FC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</w:t>
      </w:r>
      <w:r w:rsidR="00C80C31" w:rsidRPr="00C80C31">
        <w:rPr>
          <w:rFonts w:ascii="Tahoma" w:hAnsi="Tahoma" w:cs="Tahoma"/>
          <w:b/>
          <w:sz w:val="24"/>
          <w:szCs w:val="24"/>
          <w:lang w:val="fr-FR"/>
        </w:rPr>
        <w:t xml:space="preserve"> noiembrie 2015</w:t>
      </w:r>
    </w:p>
    <w:p w14:paraId="2B91C779" w14:textId="77777777" w:rsidR="006C3F13" w:rsidRPr="00C80C31" w:rsidRDefault="00D05AAD" w:rsidP="00070804">
      <w:pPr>
        <w:jc w:val="center"/>
        <w:rPr>
          <w:sz w:val="24"/>
          <w:szCs w:val="24"/>
          <w:lang w:val="ro-RO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070804">
        <w:rPr>
          <w:rFonts w:ascii="Tahoma" w:hAnsi="Tahoma" w:cs="Tahoma"/>
          <w:b/>
          <w:sz w:val="24"/>
          <w:szCs w:val="24"/>
        </w:rPr>
        <w:t xml:space="preserve">necesitatea </w:t>
      </w:r>
      <w:r w:rsidR="006C3F13">
        <w:rPr>
          <w:rFonts w:ascii="Tahoma" w:hAnsi="Tahoma" w:cs="Tahoma"/>
          <w:b/>
          <w:sz w:val="24"/>
          <w:szCs w:val="24"/>
        </w:rPr>
        <w:t>aplicării Principiului transparenței și publicității  procesului bugetar prevăzut la Art. 8 din Legea Nr. 273/2006</w:t>
      </w:r>
    </w:p>
    <w:p w14:paraId="129E2AA0" w14:textId="77777777" w:rsidR="00FC5BF2" w:rsidRPr="00FC5BF2" w:rsidRDefault="00FC5BF2" w:rsidP="00C80C31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, întrunit în şedinţa de lucru ordinară din data de </w:t>
      </w:r>
      <w:r w:rsidR="00671F05">
        <w:rPr>
          <w:rFonts w:ascii="Tahoma" w:hAnsi="Tahoma" w:cs="Tahoma"/>
          <w:color w:val="000000"/>
          <w:sz w:val="24"/>
          <w:szCs w:val="24"/>
          <w:lang w:val="ro-RO"/>
        </w:rPr>
        <w:t>26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 2015;</w:t>
      </w:r>
    </w:p>
    <w:p w14:paraId="58D60268" w14:textId="77777777" w:rsidR="00C80C31" w:rsidRDefault="00FC5BF2" w:rsidP="00C80C31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 xml:space="preserve">iniţiativa </w:t>
      </w:r>
      <w:r w:rsidR="006C3F13">
        <w:rPr>
          <w:rFonts w:ascii="Tahoma" w:hAnsi="Tahoma" w:cs="Tahoma"/>
          <w:b/>
          <w:sz w:val="24"/>
          <w:szCs w:val="24"/>
          <w:lang w:val="ro-RO"/>
        </w:rPr>
        <w:t xml:space="preserve">unui grup de consilieri ai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 w:rsidR="00CA6E2E">
        <w:rPr>
          <w:rFonts w:ascii="Tahoma" w:hAnsi="Tahoma" w:cs="Tahoma"/>
          <w:color w:val="000000"/>
          <w:sz w:val="24"/>
          <w:szCs w:val="24"/>
          <w:lang w:val="ro-RO"/>
        </w:rPr>
        <w:t xml:space="preserve"> 21.369 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din </w:t>
      </w:r>
      <w:r w:rsidR="004514FC">
        <w:rPr>
          <w:rFonts w:ascii="Tahoma" w:hAnsi="Tahoma" w:cs="Tahoma"/>
          <w:color w:val="000000"/>
          <w:sz w:val="24"/>
          <w:szCs w:val="24"/>
          <w:lang w:val="ro-RO"/>
        </w:rPr>
        <w:t xml:space="preserve">data de </w:t>
      </w:r>
      <w:r w:rsidR="00CA6E2E">
        <w:rPr>
          <w:rFonts w:ascii="Tahoma" w:hAnsi="Tahoma" w:cs="Tahoma"/>
          <w:color w:val="000000"/>
          <w:sz w:val="24"/>
          <w:szCs w:val="24"/>
          <w:lang w:val="ro-RO"/>
        </w:rPr>
        <w:t>4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 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2015, prin care se propune 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aplicarea Principiului transparenței și publicității procesului bugetar prevăzut la </w:t>
      </w:r>
      <w:r w:rsidR="00EA1B20">
        <w:rPr>
          <w:rFonts w:ascii="Tahoma" w:hAnsi="Tahoma" w:cs="Tahoma"/>
          <w:color w:val="000000"/>
          <w:sz w:val="24"/>
          <w:szCs w:val="24"/>
        </w:rPr>
        <w:t>‘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>art. 8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 din Leg</w:t>
      </w:r>
      <w:r w:rsidR="00EA3E3A">
        <w:rPr>
          <w:rFonts w:ascii="Tahoma" w:hAnsi="Tahoma" w:cs="Tahoma"/>
          <w:color w:val="000000"/>
          <w:sz w:val="24"/>
          <w:szCs w:val="24"/>
          <w:lang w:val="ro-RO"/>
        </w:rPr>
        <w:t>ea N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>r. 273/2006, proiect avizat favorabil în ședințele de lucru ale comisiilor de specialitate al</w:t>
      </w:r>
      <w:r w:rsidR="00671F05">
        <w:rPr>
          <w:rFonts w:ascii="Tahoma" w:hAnsi="Tahoma" w:cs="Tahoma"/>
          <w:color w:val="000000"/>
          <w:sz w:val="24"/>
          <w:szCs w:val="24"/>
          <w:lang w:val="ro-RO"/>
        </w:rPr>
        <w:t>e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 consiliului local din data de 26 noiembrie 2015;</w:t>
      </w:r>
    </w:p>
    <w:p w14:paraId="25273829" w14:textId="77777777" w:rsidR="006C3F13" w:rsidRDefault="006C3F13" w:rsidP="00C80C31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Avînd în vedere prevederile Legii Nr. 273/2006 – Legea finanțelor publice locale, 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art. 8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671F05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Procesul bugetar este deschis și transparent</w:t>
      </w:r>
      <w:r w:rsidR="00671F05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completat cu 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art. 4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alin. 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>
        <w:rPr>
          <w:rFonts w:ascii="Tahoma" w:hAnsi="Tahoma" w:cs="Tahoma"/>
          <w:color w:val="000000"/>
          <w:sz w:val="24"/>
          <w:szCs w:val="24"/>
          <w:lang w:val="ro-RO"/>
        </w:rPr>
        <w:t>1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și 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>
        <w:rPr>
          <w:rFonts w:ascii="Tahoma" w:hAnsi="Tahoma" w:cs="Tahoma"/>
          <w:color w:val="000000"/>
          <w:sz w:val="24"/>
          <w:szCs w:val="24"/>
          <w:lang w:val="ro-RO"/>
        </w:rPr>
        <w:t>2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articole ce urmăresc luarea de măsuri pentru întărirea di</w:t>
      </w:r>
      <w:r w:rsidR="00671F05">
        <w:rPr>
          <w:rFonts w:ascii="Tahoma" w:hAnsi="Tahoma" w:cs="Tahoma"/>
          <w:color w:val="000000"/>
          <w:sz w:val="24"/>
          <w:szCs w:val="24"/>
          <w:lang w:val="ro-RO"/>
        </w:rPr>
        <w:t>s</w:t>
      </w:r>
      <w:r>
        <w:rPr>
          <w:rFonts w:ascii="Tahoma" w:hAnsi="Tahoma" w:cs="Tahoma"/>
          <w:color w:val="000000"/>
          <w:sz w:val="24"/>
          <w:szCs w:val="24"/>
          <w:lang w:val="ro-RO"/>
        </w:rPr>
        <w:t>ciplinei financiar – contabile care să ducă la eliminarea arieratelor și la orice abatere de la prevederile legale;</w:t>
      </w:r>
    </w:p>
    <w:p w14:paraId="6CA23158" w14:textId="77777777" w:rsidR="006C3F13" w:rsidRPr="00C80C31" w:rsidRDefault="006C3F13" w:rsidP="00C80C31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>Legea Nr. 544/2001 privind liberul acces la informațiile de interes public;</w:t>
      </w:r>
    </w:p>
    <w:p w14:paraId="254BDC81" w14:textId="77777777" w:rsidR="0048255B" w:rsidRPr="003169BA" w:rsidRDefault="00C80C31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 alin. (1</w:t>
      </w: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 și 2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lit.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 a</w:t>
      </w: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 și d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>, alin. (4), lit. a</w:t>
      </w: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 b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 și e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>, alin. (1</w:t>
      </w:r>
      <w:r w:rsidRP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) 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și 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>art. 115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, alin. 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>1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>, lit. b</w:t>
      </w:r>
      <w:r w:rsidR="00EA1B20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="006C3F13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din Legea Nr. </w:t>
      </w:r>
      <w:r w:rsidR="006C3F13">
        <w:rPr>
          <w:rFonts w:ascii="Tahoma" w:hAnsi="Tahoma" w:cs="Tahoma"/>
          <w:sz w:val="24"/>
          <w:szCs w:val="24"/>
          <w:lang w:val="ro-RO"/>
        </w:rPr>
        <w:t>215/2001 privind administrația publică locală, republicată, cu modificările și completările ulterioare,</w:t>
      </w:r>
    </w:p>
    <w:p w14:paraId="6A570B1D" w14:textId="77777777" w:rsidR="00D67A43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285257F7" w14:textId="77777777" w:rsidR="00AD49F2" w:rsidRDefault="003169BA" w:rsidP="00AD49F2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="007E71AE">
        <w:rPr>
          <w:rFonts w:ascii="Tahoma" w:hAnsi="Tahoma" w:cs="Tahoma"/>
          <w:b/>
          <w:sz w:val="24"/>
          <w:szCs w:val="24"/>
        </w:rPr>
        <w:t xml:space="preserve">Municipiul Dej, </w:t>
      </w:r>
      <w:r w:rsidR="007E71AE" w:rsidRPr="007E71AE">
        <w:rPr>
          <w:rFonts w:ascii="Tahoma" w:hAnsi="Tahoma" w:cs="Tahoma"/>
          <w:sz w:val="24"/>
          <w:szCs w:val="24"/>
        </w:rPr>
        <w:t>prin serviciile</w:t>
      </w:r>
      <w:r w:rsidR="007E71AE">
        <w:rPr>
          <w:rFonts w:ascii="Tahoma" w:hAnsi="Tahoma" w:cs="Tahoma"/>
          <w:sz w:val="24"/>
          <w:szCs w:val="24"/>
        </w:rPr>
        <w:t xml:space="preserve"> de specialitate, va asigura înființarea unui registru în format electronic în care se vor consemna toate operațiunile generatoare de obligații de plată (R.O.G.O.P.) separate pentru fiecare secțiune bugetară (funcționare, dezvoltare).</w:t>
      </w:r>
    </w:p>
    <w:p w14:paraId="7A055EF1" w14:textId="77777777" w:rsidR="00AD49F2" w:rsidRP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AD49F2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Art. 2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7E71AE">
        <w:rPr>
          <w:rFonts w:ascii="Tahoma" w:hAnsi="Tahoma" w:cs="Tahoma"/>
          <w:b/>
          <w:noProof/>
          <w:color w:val="000000"/>
          <w:sz w:val="24"/>
          <w:szCs w:val="24"/>
        </w:rPr>
        <w:t>Registrul Operațiunilor Ge</w:t>
      </w:r>
      <w:r w:rsidR="00EA1B20">
        <w:rPr>
          <w:rFonts w:ascii="Tahoma" w:hAnsi="Tahoma" w:cs="Tahoma"/>
          <w:b/>
          <w:noProof/>
          <w:color w:val="000000"/>
          <w:sz w:val="24"/>
          <w:szCs w:val="24"/>
        </w:rPr>
        <w:t>ne</w:t>
      </w:r>
      <w:r w:rsidR="007E71AE">
        <w:rPr>
          <w:rFonts w:ascii="Tahoma" w:hAnsi="Tahoma" w:cs="Tahoma"/>
          <w:b/>
          <w:noProof/>
          <w:color w:val="000000"/>
          <w:sz w:val="24"/>
          <w:szCs w:val="24"/>
        </w:rPr>
        <w:t xml:space="preserve">ratoare de Obligații de Plată </w:t>
      </w:r>
      <w:r w:rsidR="007E71AE" w:rsidRPr="007E71AE">
        <w:rPr>
          <w:rFonts w:ascii="Tahoma" w:hAnsi="Tahoma" w:cs="Tahoma"/>
          <w:noProof/>
          <w:color w:val="000000"/>
          <w:sz w:val="24"/>
          <w:szCs w:val="24"/>
        </w:rPr>
        <w:t>constă în întocmirea unui registru electronic, în care să fie înscrise toate operațiunile generatoare de obligații de plată din cadrul Primăriei și care va cuprinde câmpurile prezentate în Anexa 1 care face parte integrantă din  prezenta hotărâre.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</w:p>
    <w:p w14:paraId="3B1836F1" w14:textId="77777777" w:rsidR="00AD49F2" w:rsidRPr="007E71AE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AD49F2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.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7E71AE" w:rsidRPr="007E71AE">
        <w:rPr>
          <w:rFonts w:ascii="Tahoma" w:hAnsi="Tahoma" w:cs="Tahoma"/>
          <w:b/>
          <w:noProof/>
          <w:color w:val="000000"/>
          <w:sz w:val="24"/>
          <w:szCs w:val="24"/>
        </w:rPr>
        <w:t>Registrul Operațiunilor Ge</w:t>
      </w:r>
      <w:r w:rsidR="00EA1B20">
        <w:rPr>
          <w:rFonts w:ascii="Tahoma" w:hAnsi="Tahoma" w:cs="Tahoma"/>
          <w:b/>
          <w:noProof/>
          <w:color w:val="000000"/>
          <w:sz w:val="24"/>
          <w:szCs w:val="24"/>
        </w:rPr>
        <w:t>ne</w:t>
      </w:r>
      <w:r w:rsidR="007E71AE" w:rsidRPr="007E71AE">
        <w:rPr>
          <w:rFonts w:ascii="Tahoma" w:hAnsi="Tahoma" w:cs="Tahoma"/>
          <w:b/>
          <w:noProof/>
          <w:color w:val="000000"/>
          <w:sz w:val="24"/>
          <w:szCs w:val="24"/>
        </w:rPr>
        <w:t>ratoare de Obligații de Plată</w:t>
      </w:r>
      <w:r w:rsidR="007E71AE">
        <w:rPr>
          <w:rFonts w:ascii="Tahoma" w:hAnsi="Tahoma" w:cs="Tahoma"/>
          <w:b/>
          <w:noProof/>
          <w:color w:val="000000"/>
          <w:sz w:val="24"/>
          <w:szCs w:val="24"/>
        </w:rPr>
        <w:t xml:space="preserve"> </w:t>
      </w:r>
      <w:r w:rsidR="007E71AE">
        <w:rPr>
          <w:rFonts w:ascii="Tahoma" w:hAnsi="Tahoma" w:cs="Tahoma"/>
          <w:noProof/>
          <w:color w:val="000000"/>
          <w:sz w:val="24"/>
          <w:szCs w:val="24"/>
        </w:rPr>
        <w:t>se organizează în cadrul Direcției Economice din cadrul Primăriei Municipiului Dej.</w:t>
      </w:r>
    </w:p>
    <w:p w14:paraId="2B008AE7" w14:textId="77777777" w:rsidR="00AD49F2" w:rsidRDefault="00AD49F2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AD49F2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Art. 4</w:t>
      </w:r>
      <w:r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.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7E71AE">
        <w:rPr>
          <w:rFonts w:ascii="Tahoma" w:hAnsi="Tahoma" w:cs="Tahoma"/>
          <w:noProof/>
          <w:color w:val="000000"/>
          <w:sz w:val="24"/>
          <w:szCs w:val="24"/>
          <w:lang w:val="ro-RO"/>
        </w:rPr>
        <w:t>Primarul Municipiului Dej va numi prin dispoziție internă responsabilul cu întocmirea Registrului și actualizarea lui zilnică. Responsabilul astfel desemnat are și obligația de a-l actualiza și transmite Compartiemntului I.T. în vederea publicării acestuia pe sit-eul instituției, zilnic, până la ora 16.</w:t>
      </w:r>
    </w:p>
    <w:p w14:paraId="4EDD811B" w14:textId="77777777" w:rsidR="00EA3E3A" w:rsidRPr="00EA3E3A" w:rsidRDefault="00EA3E3A" w:rsidP="00AD49F2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EA3E3A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Art. 5.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Prezenta hotărâre va intra în vigoare din data de </w:t>
      </w:r>
      <w:r w:rsidRPr="00EA3E3A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1 ianuarie 2016.</w:t>
      </w:r>
    </w:p>
    <w:p w14:paraId="22AEC3B3" w14:textId="77777777" w:rsidR="00FC5BF2" w:rsidRPr="007A21C8" w:rsidRDefault="00AD49F2" w:rsidP="007E71AE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D49F2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 xml:space="preserve">Art. </w:t>
      </w:r>
      <w:r w:rsidR="00EA3E3A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6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Pr="00AD49F2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7E71AE">
        <w:rPr>
          <w:rFonts w:ascii="Tahoma" w:hAnsi="Tahoma" w:cs="Tahoma"/>
          <w:noProof/>
          <w:color w:val="000000"/>
          <w:sz w:val="24"/>
          <w:szCs w:val="24"/>
          <w:lang w:val="ro-RO"/>
        </w:rPr>
        <w:t>Cu ducerea la îndeplinire a prevederilor prezentei hotărâri se încredințează Primarul Municipiului Dej, Direcția Economică, Compartimentul I.T. și Biroul Resurse umane din cadrul Primăriei Municipiului Dej.</w:t>
      </w:r>
      <w:r w:rsidR="007A21C8" w:rsidRPr="007A21C8">
        <w:rPr>
          <w:rFonts w:ascii="Tahoma" w:hAnsi="Tahoma" w:cs="Tahoma"/>
          <w:b/>
          <w:sz w:val="24"/>
          <w:szCs w:val="24"/>
          <w:lang w:val="ro-RO"/>
        </w:rPr>
        <w:t xml:space="preserve">     </w:t>
      </w:r>
    </w:p>
    <w:p w14:paraId="25966A2B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1673B9AF" w14:textId="77777777" w:rsidR="00DE3654" w:rsidRDefault="00B126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</w:t>
      </w:r>
      <w:r w:rsidR="00AD49F2">
        <w:rPr>
          <w:rFonts w:ascii="Tahoma" w:hAnsi="Tahoma" w:cs="Tahoma"/>
          <w:b/>
          <w:color w:val="000000"/>
          <w:sz w:val="24"/>
          <w:szCs w:val="24"/>
          <w:lang w:val="ro-RO"/>
        </w:rPr>
        <w:t>Zanc Gavril</w:t>
      </w:r>
    </w:p>
    <w:p w14:paraId="70A71BAE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55DDC963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3883B973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consilieri prezenţi   -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EA3E3A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</w:t>
      </w:r>
    </w:p>
    <w:p w14:paraId="306E4C7E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EA3E3A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12793DD7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50462032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2D4DF5C2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22D9D3EB" w14:textId="77777777" w:rsidR="007A21C8" w:rsidRPr="007A21C8" w:rsidRDefault="00DE3654" w:rsidP="00671F05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sectPr w:rsidR="007A21C8" w:rsidRPr="007A21C8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A0EFA" w14:textId="77777777" w:rsidR="008F50BF" w:rsidRDefault="008F50BF" w:rsidP="004514FC">
      <w:r>
        <w:separator/>
      </w:r>
    </w:p>
  </w:endnote>
  <w:endnote w:type="continuationSeparator" w:id="0">
    <w:p w14:paraId="58A910DE" w14:textId="77777777" w:rsidR="008F50BF" w:rsidRDefault="008F50BF" w:rsidP="0045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08AFD" w14:textId="77777777" w:rsidR="006B3E45" w:rsidRDefault="006B3E45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D8916" w14:textId="77777777" w:rsidR="006B3E45" w:rsidRDefault="006B3E45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EFA9D" w14:textId="77777777" w:rsidR="006B3E45" w:rsidRDefault="006B3E4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D72BC" w14:textId="77777777" w:rsidR="008F50BF" w:rsidRDefault="008F50BF" w:rsidP="004514FC">
      <w:r>
        <w:separator/>
      </w:r>
    </w:p>
  </w:footnote>
  <w:footnote w:type="continuationSeparator" w:id="0">
    <w:p w14:paraId="7E8790CB" w14:textId="77777777" w:rsidR="008F50BF" w:rsidRDefault="008F50BF" w:rsidP="00451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2C321" w14:textId="77777777" w:rsidR="006B3E45" w:rsidRDefault="006B3E45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6335D" w14:textId="77777777" w:rsidR="006B3E45" w:rsidRDefault="006B3E45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12F7" w14:textId="77777777" w:rsidR="006B3E45" w:rsidRDefault="006B3E45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38D"/>
    <w:rsid w:val="00007DB7"/>
    <w:rsid w:val="00010492"/>
    <w:rsid w:val="000352DE"/>
    <w:rsid w:val="000373B9"/>
    <w:rsid w:val="00041DD4"/>
    <w:rsid w:val="00041E56"/>
    <w:rsid w:val="00066A73"/>
    <w:rsid w:val="00070804"/>
    <w:rsid w:val="000771F7"/>
    <w:rsid w:val="00096259"/>
    <w:rsid w:val="000A4BF7"/>
    <w:rsid w:val="000B7893"/>
    <w:rsid w:val="000E402A"/>
    <w:rsid w:val="00113174"/>
    <w:rsid w:val="0011470C"/>
    <w:rsid w:val="00121C7B"/>
    <w:rsid w:val="00122C28"/>
    <w:rsid w:val="00124AB5"/>
    <w:rsid w:val="001258E5"/>
    <w:rsid w:val="001525DB"/>
    <w:rsid w:val="00154A03"/>
    <w:rsid w:val="001643A7"/>
    <w:rsid w:val="00173400"/>
    <w:rsid w:val="0018144F"/>
    <w:rsid w:val="00185E70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D7D5C"/>
    <w:rsid w:val="002E16DE"/>
    <w:rsid w:val="002F1A17"/>
    <w:rsid w:val="002F3A8D"/>
    <w:rsid w:val="00301777"/>
    <w:rsid w:val="00307656"/>
    <w:rsid w:val="00310072"/>
    <w:rsid w:val="003169BA"/>
    <w:rsid w:val="00327459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14FC"/>
    <w:rsid w:val="00455CD2"/>
    <w:rsid w:val="00470DAB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23F64"/>
    <w:rsid w:val="006256C9"/>
    <w:rsid w:val="006264F4"/>
    <w:rsid w:val="00630DB3"/>
    <w:rsid w:val="00636F0E"/>
    <w:rsid w:val="006477B1"/>
    <w:rsid w:val="006665FB"/>
    <w:rsid w:val="00671F05"/>
    <w:rsid w:val="0067225D"/>
    <w:rsid w:val="00674040"/>
    <w:rsid w:val="00683455"/>
    <w:rsid w:val="006B3E45"/>
    <w:rsid w:val="006C3F13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E375D"/>
    <w:rsid w:val="007E71AE"/>
    <w:rsid w:val="007F236F"/>
    <w:rsid w:val="007F2CCF"/>
    <w:rsid w:val="007F2F02"/>
    <w:rsid w:val="00816C31"/>
    <w:rsid w:val="00834291"/>
    <w:rsid w:val="0084007A"/>
    <w:rsid w:val="00841055"/>
    <w:rsid w:val="00846CDF"/>
    <w:rsid w:val="008576B5"/>
    <w:rsid w:val="00862198"/>
    <w:rsid w:val="00864710"/>
    <w:rsid w:val="00870C1A"/>
    <w:rsid w:val="00885EBD"/>
    <w:rsid w:val="00893658"/>
    <w:rsid w:val="008942F0"/>
    <w:rsid w:val="00895335"/>
    <w:rsid w:val="008A7725"/>
    <w:rsid w:val="008B4281"/>
    <w:rsid w:val="008C5C98"/>
    <w:rsid w:val="008E41B5"/>
    <w:rsid w:val="008F41B3"/>
    <w:rsid w:val="008F50BF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D49F2"/>
    <w:rsid w:val="00AE3AAD"/>
    <w:rsid w:val="00AF5BE1"/>
    <w:rsid w:val="00B10CB6"/>
    <w:rsid w:val="00B12690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E2A91"/>
    <w:rsid w:val="00C263C0"/>
    <w:rsid w:val="00C31A1F"/>
    <w:rsid w:val="00C32295"/>
    <w:rsid w:val="00C7334C"/>
    <w:rsid w:val="00C80C31"/>
    <w:rsid w:val="00C83388"/>
    <w:rsid w:val="00C87CD9"/>
    <w:rsid w:val="00C90C95"/>
    <w:rsid w:val="00C92E41"/>
    <w:rsid w:val="00CA6E2E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87CE4"/>
    <w:rsid w:val="00EA1B20"/>
    <w:rsid w:val="00EA3E3A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EF0C97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5C208C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paragraph" w:styleId="Subsol">
    <w:name w:val="footer"/>
    <w:basedOn w:val="Normal"/>
    <w:link w:val="SubsolCaracter"/>
    <w:rsid w:val="004514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4514F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6F57E86-C03D-4C00-85C1-ABEBD7FCAAC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2016-01-08T11:52:00Z</dcterms:created>
  <dcterms:modified xsi:type="dcterms:W3CDTF">2016-01-08T11:52:00Z</dcterms:modified>
</cp:coreProperties>
</file>