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69385E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5795023" w14:textId="77777777" w:rsidR="00864710" w:rsidRPr="00D522E6" w:rsidRDefault="00A9283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11F1092" wp14:editId="2FCB969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A04430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08B539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C133DC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9358DF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89154A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40A7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A68C4E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056F45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A86FD8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14:paraId="02E965D6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4EF4723F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12CFBAE0" w14:textId="77777777" w:rsidR="00FB7BF8" w:rsidRDefault="009F4043" w:rsidP="00FB7BF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FB7BF8" w:rsidRPr="00FB7BF8">
        <w:rPr>
          <w:rFonts w:ascii="Tahoma" w:hAnsi="Tahoma" w:cs="Tahoma"/>
          <w:b/>
          <w:bCs/>
          <w:sz w:val="24"/>
          <w:szCs w:val="24"/>
          <w:lang w:val="ro-RO"/>
        </w:rPr>
        <w:t xml:space="preserve">contului de execuţie al </w:t>
      </w:r>
    </w:p>
    <w:p w14:paraId="4640E1A4" w14:textId="77777777" w:rsidR="00FB7BF8" w:rsidRP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 xml:space="preserve">bugetului local </w:t>
      </w:r>
      <w:r>
        <w:rPr>
          <w:rFonts w:ascii="Tahoma" w:hAnsi="Tahoma" w:cs="Tahoma"/>
          <w:b/>
          <w:bCs/>
          <w:sz w:val="24"/>
          <w:szCs w:val="24"/>
          <w:lang w:val="ro-RO"/>
        </w:rPr>
        <w:t>al Municipiului Dej</w:t>
      </w: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 xml:space="preserve"> la data de 31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decembrie </w:t>
      </w: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>2015</w:t>
      </w:r>
    </w:p>
    <w:p w14:paraId="421D283F" w14:textId="77777777" w:rsidR="00417912" w:rsidRPr="00417912" w:rsidRDefault="00417912" w:rsidP="00FB7BF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39DC04A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5E6DB0F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046E91D0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0DC975B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49A739C7" w14:textId="77777777" w:rsidR="00FB7BF8" w:rsidRPr="00FB7BF8" w:rsidRDefault="00791CF5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>1.273  din data de 19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, al Direcției Rconomice din cadrul Primăriei Municipiului Dej,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pri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n care se propune spre aprobare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proiectul de hotărâre privind aprobarea contului de execuție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al Municipiului Dej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 la data de 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31 decembrie 2015, proiect avizat favorabil în ședința de lucru a comisiei economice din data de 29 ianuarie 2016;</w:t>
      </w:r>
    </w:p>
    <w:p w14:paraId="2F605838" w14:textId="77777777" w:rsidR="00FB7BF8" w:rsidRPr="00FB7BF8" w:rsidRDefault="00FB7BF8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A86FD8">
        <w:rPr>
          <w:rFonts w:ascii="Tahoma" w:hAnsi="Tahoma" w:cs="Tahoma"/>
          <w:color w:val="000000"/>
          <w:sz w:val="26"/>
          <w:szCs w:val="26"/>
        </w:rPr>
        <w:t>‘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57,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</w:p>
    <w:p w14:paraId="1E25166A" w14:textId="77777777" w:rsidR="00417912" w:rsidRPr="00417912" w:rsidRDefault="00FB7BF8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’,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(2)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lit. b),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(4),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lit.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a)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și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r w:rsidR="00417912" w:rsidRPr="00417912">
        <w:rPr>
          <w:rFonts w:ascii="Tahoma" w:hAnsi="Tahoma" w:cs="Tahoma"/>
          <w:color w:val="000000"/>
          <w:sz w:val="26"/>
          <w:szCs w:val="26"/>
        </w:rPr>
        <w:t>lă, republicată, cu modificările şi completările ulterioare,</w:t>
      </w:r>
    </w:p>
    <w:p w14:paraId="0FD9B195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2D7E6923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5942C8B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007DBF9E" w14:textId="77777777" w:rsidR="00FB7BF8" w:rsidRPr="00FB7BF8" w:rsidRDefault="00C91DA3" w:rsidP="00FB7BF8">
      <w:pPr>
        <w:jc w:val="both"/>
        <w:rPr>
          <w:rFonts w:ascii="Tahoma" w:hAnsi="Tahoma" w:cs="Tahoma"/>
          <w:bCs/>
          <w:sz w:val="24"/>
          <w:szCs w:val="24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B7BF8" w:rsidRPr="00FB7BF8">
        <w:rPr>
          <w:rFonts w:ascii="Tahoma" w:hAnsi="Tahoma" w:cs="Tahoma"/>
          <w:bCs/>
          <w:sz w:val="24"/>
          <w:szCs w:val="24"/>
        </w:rPr>
        <w:t>contul de execuţie la data de 31</w:t>
      </w:r>
      <w:r w:rsidR="00FB7BF8">
        <w:rPr>
          <w:rFonts w:ascii="Tahoma" w:hAnsi="Tahoma" w:cs="Tahoma"/>
          <w:bCs/>
          <w:sz w:val="24"/>
          <w:szCs w:val="24"/>
        </w:rPr>
        <w:t xml:space="preserve"> decembrie </w:t>
      </w:r>
      <w:r w:rsidR="00FB7BF8" w:rsidRPr="00FB7BF8">
        <w:rPr>
          <w:rFonts w:ascii="Tahoma" w:hAnsi="Tahoma" w:cs="Tahoma"/>
          <w:bCs/>
          <w:sz w:val="24"/>
          <w:szCs w:val="24"/>
        </w:rPr>
        <w:t>2015 al Municipiului  Dej în următoarea structură:</w:t>
      </w:r>
    </w:p>
    <w:p w14:paraId="732CD22F" w14:textId="77777777" w:rsid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>La partea de venituri</w:t>
      </w:r>
    </w:p>
    <w:p w14:paraId="19884159" w14:textId="77777777" w:rsidR="00A86FD8" w:rsidRPr="00FB7BF8" w:rsidRDefault="00A86FD8" w:rsidP="00FB7BF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B3FC47B" w14:textId="77777777" w:rsidR="00FB7BF8" w:rsidRPr="00FB7BF8" w:rsidRDefault="00FB7BF8" w:rsidP="00FB7BF8">
      <w:pPr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1.Prevederi bugetare anuale            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113.220.980,00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B7BF8">
        <w:rPr>
          <w:rFonts w:ascii="Tahoma" w:hAnsi="Tahoma" w:cs="Tahoma"/>
          <w:b/>
          <w:bCs/>
          <w:sz w:val="24"/>
          <w:szCs w:val="24"/>
        </w:rPr>
        <w:t>lei</w:t>
      </w:r>
    </w:p>
    <w:p w14:paraId="786171A8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  <w:t>2.</w:t>
      </w:r>
      <w:r w:rsidRPr="00FB7BF8">
        <w:rPr>
          <w:rFonts w:ascii="Tahoma" w:hAnsi="Tahoma" w:cs="Tahoma"/>
          <w:bCs/>
          <w:sz w:val="24"/>
          <w:szCs w:val="24"/>
        </w:rPr>
        <w:t xml:space="preserve">Prevederi bugetare trimestriale                          </w:t>
      </w:r>
      <w:r>
        <w:rPr>
          <w:rFonts w:ascii="Tahoma" w:hAnsi="Tahoma" w:cs="Tahoma"/>
          <w:bCs/>
          <w:sz w:val="24"/>
          <w:szCs w:val="24"/>
        </w:rPr>
        <w:t xml:space="preserve">  </w:t>
      </w:r>
      <w:r w:rsidRPr="00FB7BF8">
        <w:rPr>
          <w:rFonts w:ascii="Tahoma" w:hAnsi="Tahoma" w:cs="Tahoma"/>
          <w:b/>
          <w:bCs/>
          <w:sz w:val="24"/>
          <w:szCs w:val="24"/>
        </w:rPr>
        <w:t>113.220.980,00 lei</w:t>
      </w:r>
    </w:p>
    <w:p w14:paraId="4D52251A" w14:textId="77777777" w:rsidR="00FB7BF8" w:rsidRPr="00FB7BF8" w:rsidRDefault="00FB7BF8" w:rsidP="00FB7BF8">
      <w:pPr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3.Î</w:t>
      </w:r>
      <w:r w:rsidRPr="00FB7BF8">
        <w:rPr>
          <w:rFonts w:ascii="Tahoma" w:hAnsi="Tahoma" w:cs="Tahoma"/>
          <w:bCs/>
          <w:sz w:val="24"/>
          <w:szCs w:val="24"/>
        </w:rPr>
        <w:t xml:space="preserve">ncasări realizate  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107.673.497,59 </w:t>
      </w:r>
      <w:r w:rsidRPr="00FB7BF8">
        <w:rPr>
          <w:rFonts w:ascii="Tahoma" w:hAnsi="Tahoma" w:cs="Tahoma"/>
          <w:b/>
          <w:bCs/>
          <w:sz w:val="24"/>
          <w:szCs w:val="24"/>
        </w:rPr>
        <w:t>lei</w:t>
      </w:r>
    </w:p>
    <w:p w14:paraId="63664603" w14:textId="77777777" w:rsidR="00FB7BF8" w:rsidRP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/>
          <w:bCs/>
          <w:sz w:val="24"/>
          <w:szCs w:val="24"/>
        </w:rPr>
        <w:t>A.Secțiunea de funcționare</w:t>
      </w:r>
    </w:p>
    <w:p w14:paraId="6598CCAF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</w:r>
      <w:r w:rsidRPr="00FB7BF8">
        <w:rPr>
          <w:rFonts w:ascii="Tahoma" w:hAnsi="Tahoma" w:cs="Tahoma"/>
          <w:bCs/>
          <w:sz w:val="24"/>
          <w:szCs w:val="24"/>
        </w:rPr>
        <w:t xml:space="preserve">1.Prevederi bugetare anuale  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62.026.190,00 lei</w:t>
      </w:r>
    </w:p>
    <w:p w14:paraId="31F14F7C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  <w:t>2.</w:t>
      </w:r>
      <w:r w:rsidRPr="00FB7BF8">
        <w:rPr>
          <w:rFonts w:ascii="Tahoma" w:hAnsi="Tahoma" w:cs="Tahoma"/>
          <w:bCs/>
          <w:sz w:val="24"/>
          <w:szCs w:val="24"/>
        </w:rPr>
        <w:t xml:space="preserve">Prevederi bugetare trimestriale       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 xml:space="preserve">62.026.190,00 </w:t>
      </w:r>
      <w:r>
        <w:rPr>
          <w:rFonts w:ascii="Tahoma" w:hAnsi="Tahoma" w:cs="Tahoma"/>
          <w:b/>
          <w:bCs/>
          <w:sz w:val="24"/>
          <w:szCs w:val="24"/>
        </w:rPr>
        <w:t>lei</w:t>
      </w:r>
    </w:p>
    <w:p w14:paraId="11830FD5" w14:textId="77777777" w:rsidR="00FB7BF8" w:rsidRPr="00FB7BF8" w:rsidRDefault="00FB7BF8" w:rsidP="00FB7BF8">
      <w:pPr>
        <w:ind w:firstLine="72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3.Î</w:t>
      </w:r>
      <w:r w:rsidRPr="00FB7BF8">
        <w:rPr>
          <w:rFonts w:ascii="Tahoma" w:hAnsi="Tahoma" w:cs="Tahoma"/>
          <w:bCs/>
          <w:sz w:val="24"/>
          <w:szCs w:val="24"/>
        </w:rPr>
        <w:t xml:space="preserve">ncasări realizate      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64.925.400,33 lei</w:t>
      </w:r>
    </w:p>
    <w:p w14:paraId="6C03124D" w14:textId="77777777" w:rsidR="00FB7BF8" w:rsidRP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/>
          <w:bCs/>
          <w:sz w:val="24"/>
          <w:szCs w:val="24"/>
        </w:rPr>
        <w:t>B.Secțiunea de dezvoltare</w:t>
      </w:r>
    </w:p>
    <w:p w14:paraId="4CE20F74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1777BC2B" w14:textId="77777777" w:rsidR="00FB7BF8" w:rsidRPr="00FB7BF8" w:rsidRDefault="00FB7BF8" w:rsidP="00FB7BF8">
      <w:pPr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1.Prevederi bugetareale                    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51.194.790,00 lei</w:t>
      </w:r>
    </w:p>
    <w:p w14:paraId="677A8E18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  <w:t>2.</w:t>
      </w:r>
      <w:r w:rsidRPr="00FB7BF8">
        <w:rPr>
          <w:rFonts w:ascii="Tahoma" w:hAnsi="Tahoma" w:cs="Tahoma"/>
          <w:bCs/>
          <w:sz w:val="24"/>
          <w:szCs w:val="24"/>
        </w:rPr>
        <w:t xml:space="preserve">Prevederi bugetare trimestriale                           </w:t>
      </w:r>
      <w:r>
        <w:rPr>
          <w:rFonts w:ascii="Tahoma" w:hAnsi="Tahoma" w:cs="Tahoma"/>
          <w:bCs/>
          <w:sz w:val="24"/>
          <w:szCs w:val="24"/>
        </w:rPr>
        <w:t xml:space="preserve">  </w:t>
      </w:r>
      <w:r w:rsidRPr="00FB7BF8">
        <w:rPr>
          <w:rFonts w:ascii="Tahoma" w:hAnsi="Tahoma" w:cs="Tahoma"/>
          <w:b/>
          <w:bCs/>
          <w:sz w:val="24"/>
          <w:szCs w:val="24"/>
        </w:rPr>
        <w:t>51.194.790,00 lei</w:t>
      </w:r>
    </w:p>
    <w:p w14:paraId="63AA0BB4" w14:textId="77777777" w:rsidR="00FB7BF8" w:rsidRPr="00FB7BF8" w:rsidRDefault="00FB7BF8" w:rsidP="00FB7BF8">
      <w:pPr>
        <w:ind w:firstLine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3.Î</w:t>
      </w:r>
      <w:r w:rsidRPr="00FB7BF8">
        <w:rPr>
          <w:rFonts w:ascii="Tahoma" w:hAnsi="Tahoma" w:cs="Tahoma"/>
          <w:bCs/>
          <w:sz w:val="24"/>
          <w:szCs w:val="24"/>
        </w:rPr>
        <w:t xml:space="preserve">ncasări realizate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</w:t>
      </w:r>
      <w:r w:rsidRPr="00FB7BF8">
        <w:rPr>
          <w:rFonts w:ascii="Tahoma" w:hAnsi="Tahoma" w:cs="Tahoma"/>
          <w:bCs/>
          <w:sz w:val="24"/>
          <w:szCs w:val="24"/>
        </w:rPr>
        <w:t xml:space="preserve"> </w:t>
      </w:r>
      <w:r w:rsidRPr="00FB7BF8">
        <w:rPr>
          <w:rFonts w:ascii="Tahoma" w:hAnsi="Tahoma" w:cs="Tahoma"/>
          <w:b/>
          <w:bCs/>
          <w:sz w:val="24"/>
          <w:szCs w:val="24"/>
        </w:rPr>
        <w:t>42.748.097,26 lei</w:t>
      </w:r>
    </w:p>
    <w:p w14:paraId="0D8FE231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3E5378F" w14:textId="77777777" w:rsidR="00FB7BF8" w:rsidRDefault="00FB7BF8" w:rsidP="002A3963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>La partea de cheltuieli</w:t>
      </w:r>
    </w:p>
    <w:p w14:paraId="6B9146E8" w14:textId="77777777" w:rsidR="00A86FD8" w:rsidRPr="00FB7BF8" w:rsidRDefault="00A86FD8" w:rsidP="002A3963">
      <w:pPr>
        <w:jc w:val="center"/>
        <w:rPr>
          <w:rFonts w:ascii="Tahoma" w:hAnsi="Tahoma" w:cs="Tahoma"/>
          <w:bCs/>
          <w:sz w:val="24"/>
          <w:szCs w:val="24"/>
        </w:rPr>
      </w:pPr>
    </w:p>
    <w:p w14:paraId="3F5A29F1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   1.Credite bugetare anuale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114.296.380,00 lei</w:t>
      </w:r>
    </w:p>
    <w:p w14:paraId="0107DF8A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</w:t>
      </w:r>
      <w:r>
        <w:rPr>
          <w:rFonts w:ascii="Tahoma" w:hAnsi="Tahoma" w:cs="Tahoma"/>
          <w:bCs/>
          <w:sz w:val="24"/>
          <w:szCs w:val="24"/>
        </w:rPr>
        <w:tab/>
      </w:r>
      <w:r w:rsidRPr="00FB7BF8">
        <w:rPr>
          <w:rFonts w:ascii="Tahoma" w:hAnsi="Tahoma" w:cs="Tahoma"/>
          <w:bCs/>
          <w:sz w:val="24"/>
          <w:szCs w:val="24"/>
        </w:rPr>
        <w:t xml:space="preserve">2.Credite bugetare trimestriale          </w:t>
      </w:r>
      <w:r>
        <w:rPr>
          <w:rFonts w:ascii="Tahoma" w:hAnsi="Tahoma" w:cs="Tahoma"/>
          <w:bCs/>
          <w:sz w:val="24"/>
          <w:szCs w:val="24"/>
        </w:rPr>
        <w:t xml:space="preserve"> 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114.296.380,00 lei</w:t>
      </w:r>
    </w:p>
    <w:p w14:paraId="26177492" w14:textId="77777777" w:rsidR="00FB7BF8" w:rsidRPr="00FB7BF8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</w:t>
      </w:r>
      <w:r>
        <w:rPr>
          <w:rFonts w:ascii="Tahoma" w:hAnsi="Tahoma" w:cs="Tahoma"/>
          <w:bCs/>
          <w:sz w:val="24"/>
          <w:szCs w:val="24"/>
        </w:rPr>
        <w:tab/>
      </w:r>
      <w:r w:rsidR="00A86FD8">
        <w:rPr>
          <w:rFonts w:ascii="Tahoma" w:hAnsi="Tahoma" w:cs="Tahoma"/>
          <w:bCs/>
          <w:sz w:val="24"/>
          <w:szCs w:val="24"/>
        </w:rPr>
        <w:t>3.</w:t>
      </w:r>
      <w:r w:rsidRPr="00FB7BF8">
        <w:rPr>
          <w:rFonts w:ascii="Tahoma" w:hAnsi="Tahoma" w:cs="Tahoma"/>
          <w:bCs/>
          <w:sz w:val="24"/>
          <w:szCs w:val="24"/>
        </w:rPr>
        <w:t xml:space="preserve">Plăţi efectuate              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</w:t>
      </w:r>
      <w:r w:rsidRPr="00FB7BF8">
        <w:rPr>
          <w:rFonts w:ascii="Tahoma" w:hAnsi="Tahoma" w:cs="Tahoma"/>
          <w:b/>
          <w:bCs/>
          <w:sz w:val="24"/>
          <w:szCs w:val="24"/>
        </w:rPr>
        <w:t>101.749.163,60 lei</w:t>
      </w:r>
    </w:p>
    <w:p w14:paraId="6CDFCACC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6073DD92" w14:textId="77777777" w:rsid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58080A05" w14:textId="77777777" w:rsid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lastRenderedPageBreak/>
        <w:t xml:space="preserve">                         </w:t>
      </w:r>
    </w:p>
    <w:p w14:paraId="477555CE" w14:textId="77777777" w:rsidR="00FB7BF8" w:rsidRPr="00FB7BF8" w:rsidRDefault="00FB7BF8" w:rsidP="00FB7BF8">
      <w:pPr>
        <w:numPr>
          <w:ilvl w:val="0"/>
          <w:numId w:val="29"/>
        </w:num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Secț</w:t>
      </w:r>
      <w:r w:rsidRPr="00FB7BF8">
        <w:rPr>
          <w:rFonts w:ascii="Tahoma" w:hAnsi="Tahoma" w:cs="Tahoma"/>
          <w:b/>
          <w:bCs/>
          <w:sz w:val="24"/>
          <w:szCs w:val="24"/>
        </w:rPr>
        <w:t>iunea de funcționare</w:t>
      </w:r>
    </w:p>
    <w:p w14:paraId="7B69A091" w14:textId="77777777" w:rsidR="00FB7BF8" w:rsidRP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41C7A0" w14:textId="77777777" w:rsidR="00FB7BF8" w:rsidRPr="002A3963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  </w:t>
      </w:r>
      <w:r>
        <w:rPr>
          <w:rFonts w:ascii="Tahoma" w:hAnsi="Tahoma" w:cs="Tahoma"/>
          <w:bCs/>
          <w:sz w:val="24"/>
          <w:szCs w:val="24"/>
        </w:rPr>
        <w:tab/>
      </w:r>
      <w:r w:rsidRPr="00FB7BF8">
        <w:rPr>
          <w:rFonts w:ascii="Tahoma" w:hAnsi="Tahoma" w:cs="Tahoma"/>
          <w:bCs/>
          <w:sz w:val="24"/>
          <w:szCs w:val="24"/>
        </w:rPr>
        <w:t xml:space="preserve"> 1.Credite bugetare anule 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   </w:t>
      </w:r>
      <w:r w:rsidRPr="002A3963">
        <w:rPr>
          <w:rFonts w:ascii="Tahoma" w:hAnsi="Tahoma" w:cs="Tahoma"/>
          <w:b/>
          <w:bCs/>
          <w:sz w:val="24"/>
          <w:szCs w:val="24"/>
        </w:rPr>
        <w:t xml:space="preserve">62.026.190,00 </w:t>
      </w:r>
      <w:r w:rsidR="002A3963">
        <w:rPr>
          <w:rFonts w:ascii="Tahoma" w:hAnsi="Tahoma" w:cs="Tahoma"/>
          <w:b/>
          <w:bCs/>
          <w:sz w:val="24"/>
          <w:szCs w:val="24"/>
        </w:rPr>
        <w:t>lei</w:t>
      </w:r>
    </w:p>
    <w:p w14:paraId="5C93FCCC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</w:t>
      </w:r>
      <w:r>
        <w:rPr>
          <w:rFonts w:ascii="Tahoma" w:hAnsi="Tahoma" w:cs="Tahoma"/>
          <w:bCs/>
          <w:sz w:val="24"/>
          <w:szCs w:val="24"/>
        </w:rPr>
        <w:tab/>
      </w:r>
      <w:r w:rsidRPr="00FB7BF8">
        <w:rPr>
          <w:rFonts w:ascii="Tahoma" w:hAnsi="Tahoma" w:cs="Tahoma"/>
          <w:bCs/>
          <w:sz w:val="24"/>
          <w:szCs w:val="24"/>
        </w:rPr>
        <w:t xml:space="preserve"> 2.Credite bugetare trimestriale     </w:t>
      </w:r>
      <w:r>
        <w:rPr>
          <w:rFonts w:ascii="Tahoma" w:hAnsi="Tahoma" w:cs="Tahoma"/>
          <w:bCs/>
          <w:sz w:val="24"/>
          <w:szCs w:val="24"/>
        </w:rPr>
        <w:t xml:space="preserve">                          </w:t>
      </w:r>
      <w:r w:rsidRPr="002A3963">
        <w:rPr>
          <w:rFonts w:ascii="Tahoma" w:hAnsi="Tahoma" w:cs="Tahoma"/>
          <w:b/>
          <w:bCs/>
          <w:sz w:val="24"/>
          <w:szCs w:val="24"/>
        </w:rPr>
        <w:t>62.026.190,00 lei</w:t>
      </w:r>
    </w:p>
    <w:p w14:paraId="3455F660" w14:textId="77777777" w:rsidR="00FB7BF8" w:rsidRPr="002A3963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</w:t>
      </w:r>
      <w:r>
        <w:rPr>
          <w:rFonts w:ascii="Tahoma" w:hAnsi="Tahoma" w:cs="Tahoma"/>
          <w:bCs/>
          <w:sz w:val="24"/>
          <w:szCs w:val="24"/>
        </w:rPr>
        <w:tab/>
        <w:t xml:space="preserve"> </w:t>
      </w:r>
      <w:r w:rsidRPr="00FB7BF8">
        <w:rPr>
          <w:rFonts w:ascii="Tahoma" w:hAnsi="Tahoma" w:cs="Tahoma"/>
          <w:bCs/>
          <w:sz w:val="24"/>
          <w:szCs w:val="24"/>
        </w:rPr>
        <w:t xml:space="preserve">3. Plăţi efectuate                                </w:t>
      </w:r>
      <w:r>
        <w:rPr>
          <w:rFonts w:ascii="Tahoma" w:hAnsi="Tahoma" w:cs="Tahoma"/>
          <w:bCs/>
          <w:sz w:val="24"/>
          <w:szCs w:val="24"/>
        </w:rPr>
        <w:t xml:space="preserve">                  </w:t>
      </w:r>
      <w:r w:rsidRPr="002A3963">
        <w:rPr>
          <w:rFonts w:ascii="Tahoma" w:hAnsi="Tahoma" w:cs="Tahoma"/>
          <w:b/>
          <w:bCs/>
          <w:sz w:val="24"/>
          <w:szCs w:val="24"/>
        </w:rPr>
        <w:t>59.233.189,71</w:t>
      </w:r>
      <w:r w:rsidR="002A396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A3963">
        <w:rPr>
          <w:rFonts w:ascii="Tahoma" w:hAnsi="Tahoma" w:cs="Tahoma"/>
          <w:b/>
          <w:bCs/>
          <w:sz w:val="24"/>
          <w:szCs w:val="24"/>
        </w:rPr>
        <w:t>lei</w:t>
      </w:r>
    </w:p>
    <w:p w14:paraId="60D999AA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16E8F1F7" w14:textId="77777777" w:rsidR="00FB7BF8" w:rsidRPr="00FB7BF8" w:rsidRDefault="00FB7BF8" w:rsidP="00FB7BF8">
      <w:pPr>
        <w:numPr>
          <w:ilvl w:val="0"/>
          <w:numId w:val="29"/>
        </w:num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Secț</w:t>
      </w:r>
      <w:r w:rsidRPr="00FB7BF8">
        <w:rPr>
          <w:rFonts w:ascii="Tahoma" w:hAnsi="Tahoma" w:cs="Tahoma"/>
          <w:b/>
          <w:bCs/>
          <w:sz w:val="24"/>
          <w:szCs w:val="24"/>
        </w:rPr>
        <w:t>iunea de dezvoltare</w:t>
      </w:r>
    </w:p>
    <w:p w14:paraId="01975718" w14:textId="77777777" w:rsidR="00FB7BF8" w:rsidRPr="00FB7BF8" w:rsidRDefault="00FB7BF8" w:rsidP="00FB7BF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F4D656" w14:textId="77777777" w:rsidR="00FB7BF8" w:rsidRPr="002A3963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  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FB7BF8">
        <w:rPr>
          <w:rFonts w:ascii="Tahoma" w:hAnsi="Tahoma" w:cs="Tahoma"/>
          <w:bCs/>
          <w:sz w:val="24"/>
          <w:szCs w:val="24"/>
        </w:rPr>
        <w:t xml:space="preserve">1.Credite bugetre anuale                 </w:t>
      </w:r>
      <w:r>
        <w:rPr>
          <w:rFonts w:ascii="Tahoma" w:hAnsi="Tahoma" w:cs="Tahoma"/>
          <w:bCs/>
          <w:sz w:val="24"/>
          <w:szCs w:val="24"/>
        </w:rPr>
        <w:t xml:space="preserve">              </w:t>
      </w:r>
      <w:r w:rsidR="002A3963">
        <w:rPr>
          <w:rFonts w:ascii="Tahoma" w:hAnsi="Tahoma" w:cs="Tahoma"/>
          <w:bCs/>
          <w:sz w:val="24"/>
          <w:szCs w:val="24"/>
        </w:rPr>
        <w:t xml:space="preserve">       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2A3963">
        <w:rPr>
          <w:rFonts w:ascii="Tahoma" w:hAnsi="Tahoma" w:cs="Tahoma"/>
          <w:b/>
          <w:bCs/>
          <w:sz w:val="24"/>
          <w:szCs w:val="24"/>
        </w:rPr>
        <w:t>52.270.190,00</w:t>
      </w:r>
      <w:r w:rsidR="002A3963" w:rsidRPr="002A3963">
        <w:rPr>
          <w:rFonts w:ascii="Tahoma" w:hAnsi="Tahoma" w:cs="Tahoma"/>
          <w:b/>
          <w:bCs/>
          <w:sz w:val="24"/>
          <w:szCs w:val="24"/>
        </w:rPr>
        <w:t xml:space="preserve"> lei</w:t>
      </w:r>
    </w:p>
    <w:p w14:paraId="3CCF77F0" w14:textId="77777777" w:rsidR="00FB7BF8" w:rsidRPr="002A3963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 </w:t>
      </w:r>
      <w:r>
        <w:rPr>
          <w:rFonts w:ascii="Tahoma" w:hAnsi="Tahoma" w:cs="Tahoma"/>
          <w:bCs/>
          <w:sz w:val="24"/>
          <w:szCs w:val="24"/>
        </w:rPr>
        <w:t xml:space="preserve">    </w:t>
      </w:r>
      <w:r w:rsidRPr="00FB7BF8">
        <w:rPr>
          <w:rFonts w:ascii="Tahoma" w:hAnsi="Tahoma" w:cs="Tahoma"/>
          <w:bCs/>
          <w:sz w:val="24"/>
          <w:szCs w:val="24"/>
        </w:rPr>
        <w:t xml:space="preserve">2.Credite bugetare trimestriale        </w:t>
      </w:r>
      <w:r w:rsidR="002A3963">
        <w:rPr>
          <w:rFonts w:ascii="Tahoma" w:hAnsi="Tahoma" w:cs="Tahoma"/>
          <w:bCs/>
          <w:sz w:val="24"/>
          <w:szCs w:val="24"/>
        </w:rPr>
        <w:t xml:space="preserve">                        </w:t>
      </w:r>
      <w:r w:rsidRPr="002A3963">
        <w:rPr>
          <w:rFonts w:ascii="Tahoma" w:hAnsi="Tahoma" w:cs="Tahoma"/>
          <w:b/>
          <w:bCs/>
          <w:sz w:val="24"/>
          <w:szCs w:val="24"/>
        </w:rPr>
        <w:t xml:space="preserve">52.270.190,00 </w:t>
      </w:r>
      <w:r w:rsidR="002A3963" w:rsidRPr="002A3963">
        <w:rPr>
          <w:rFonts w:ascii="Tahoma" w:hAnsi="Tahoma" w:cs="Tahoma"/>
          <w:b/>
          <w:bCs/>
          <w:sz w:val="24"/>
          <w:szCs w:val="24"/>
        </w:rPr>
        <w:t>lei</w:t>
      </w:r>
    </w:p>
    <w:p w14:paraId="7E38F73B" w14:textId="77777777" w:rsidR="00FB7BF8" w:rsidRPr="002A3963" w:rsidRDefault="00FB7BF8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FB7BF8">
        <w:rPr>
          <w:rFonts w:ascii="Tahoma" w:hAnsi="Tahoma" w:cs="Tahoma"/>
          <w:bCs/>
          <w:sz w:val="24"/>
          <w:szCs w:val="24"/>
        </w:rPr>
        <w:t xml:space="preserve">     </w:t>
      </w:r>
      <w:r>
        <w:rPr>
          <w:rFonts w:ascii="Tahoma" w:hAnsi="Tahoma" w:cs="Tahoma"/>
          <w:bCs/>
          <w:sz w:val="24"/>
          <w:szCs w:val="24"/>
        </w:rPr>
        <w:t xml:space="preserve">    </w:t>
      </w:r>
      <w:r w:rsidRPr="00FB7BF8">
        <w:rPr>
          <w:rFonts w:ascii="Tahoma" w:hAnsi="Tahoma" w:cs="Tahoma"/>
          <w:bCs/>
          <w:sz w:val="24"/>
          <w:szCs w:val="24"/>
        </w:rPr>
        <w:t xml:space="preserve"> 3. Plăţi efectuate                                    </w:t>
      </w:r>
      <w:r w:rsidR="002A3963">
        <w:rPr>
          <w:rFonts w:ascii="Tahoma" w:hAnsi="Tahoma" w:cs="Tahoma"/>
          <w:bCs/>
          <w:sz w:val="24"/>
          <w:szCs w:val="24"/>
        </w:rPr>
        <w:t xml:space="preserve">               </w:t>
      </w:r>
      <w:r w:rsidRPr="002A3963">
        <w:rPr>
          <w:rFonts w:ascii="Tahoma" w:hAnsi="Tahoma" w:cs="Tahoma"/>
          <w:b/>
          <w:bCs/>
          <w:sz w:val="24"/>
          <w:szCs w:val="24"/>
        </w:rPr>
        <w:t>42.515.973,89 lei</w:t>
      </w:r>
      <w:r w:rsidRPr="002A3963">
        <w:rPr>
          <w:rFonts w:ascii="Tahoma" w:hAnsi="Tahoma" w:cs="Tahoma"/>
          <w:b/>
          <w:bCs/>
          <w:sz w:val="24"/>
          <w:szCs w:val="24"/>
          <w:lang w:val="ro-RO"/>
        </w:rPr>
        <w:tab/>
        <w:t xml:space="preserve">     </w:t>
      </w:r>
    </w:p>
    <w:p w14:paraId="6A718E10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2163F0ED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</w:rPr>
      </w:pP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</w:t>
      </w:r>
    </w:p>
    <w:p w14:paraId="121E8A45" w14:textId="77777777" w:rsidR="00FB7BF8" w:rsidRPr="00FB7BF8" w:rsidRDefault="00FB7BF8" w:rsidP="00FB7BF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FB7BF8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</w:t>
      </w:r>
      <w:r w:rsidRPr="00FB7BF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FB7BF8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</w:t>
      </w:r>
      <w:r w:rsidR="002A3963">
        <w:rPr>
          <w:rFonts w:ascii="Tahoma" w:hAnsi="Tahoma" w:cs="Tahoma"/>
          <w:bCs/>
          <w:sz w:val="24"/>
          <w:szCs w:val="24"/>
          <w:lang w:val="ro-RO"/>
        </w:rPr>
        <w:t xml:space="preserve"> a prevederilor prezentei hotărâri</w:t>
      </w:r>
      <w:r w:rsidRPr="00FB7BF8">
        <w:rPr>
          <w:rFonts w:ascii="Tahoma" w:hAnsi="Tahoma" w:cs="Tahoma"/>
          <w:bCs/>
          <w:sz w:val="24"/>
          <w:szCs w:val="24"/>
          <w:lang w:val="ro-RO"/>
        </w:rPr>
        <w:t xml:space="preserve"> se încredinţează Direcţia Economică, Direcţia Tehnică, serviciile și compartimentele  din cadrul</w:t>
      </w:r>
      <w:r w:rsidR="002A3963">
        <w:rPr>
          <w:rFonts w:ascii="Tahoma" w:hAnsi="Tahoma" w:cs="Tahoma"/>
          <w:bCs/>
          <w:sz w:val="24"/>
          <w:szCs w:val="24"/>
          <w:lang w:val="ro-RO"/>
        </w:rPr>
        <w:t xml:space="preserve"> Primăriei</w:t>
      </w:r>
      <w:r w:rsidRPr="00FB7BF8">
        <w:rPr>
          <w:rFonts w:ascii="Tahoma" w:hAnsi="Tahoma" w:cs="Tahoma"/>
          <w:bCs/>
          <w:sz w:val="24"/>
          <w:szCs w:val="24"/>
          <w:lang w:val="ro-RO"/>
        </w:rPr>
        <w:t xml:space="preserve"> Municipiului  Dej.</w:t>
      </w:r>
    </w:p>
    <w:p w14:paraId="38AB2832" w14:textId="77777777" w:rsidR="00FE23BC" w:rsidRPr="00FB7BF8" w:rsidRDefault="00FE23BC" w:rsidP="00FB7BF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931E9AC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ADE275B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798868E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216ECDC7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2D91D1E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E3EC8DC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9AC8C44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4B8DFF91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A86FD8">
        <w:rPr>
          <w:rFonts w:ascii="Tahoma" w:hAnsi="Tahoma" w:cs="Tahoma"/>
          <w:b/>
          <w:lang w:val="fr-FR"/>
        </w:rPr>
        <w:t xml:space="preserve"> 17</w:t>
      </w:r>
      <w:r w:rsidR="0073084B">
        <w:rPr>
          <w:rFonts w:ascii="Tahoma" w:hAnsi="Tahoma" w:cs="Tahoma"/>
          <w:b/>
          <w:lang w:val="fr-FR"/>
        </w:rPr>
        <w:t xml:space="preserve"> </w:t>
      </w:r>
    </w:p>
    <w:p w14:paraId="219248FA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A86FD8">
        <w:rPr>
          <w:rFonts w:ascii="Tahoma" w:hAnsi="Tahoma" w:cs="Tahoma"/>
          <w:b/>
          <w:lang w:val="fr-FR"/>
        </w:rPr>
        <w:t>12</w:t>
      </w:r>
    </w:p>
    <w:p w14:paraId="0406567F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230F80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A86FD8">
        <w:rPr>
          <w:rFonts w:ascii="Tahoma" w:hAnsi="Tahoma" w:cs="Tahoma"/>
          <w:b/>
        </w:rPr>
        <w:t>5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2BA8706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77EDC270" w14:textId="77777777" w:rsidR="009F4043" w:rsidRPr="009F4043" w:rsidRDefault="009F4043" w:rsidP="009F4043">
      <w:pPr>
        <w:jc w:val="center"/>
      </w:pPr>
    </w:p>
    <w:p w14:paraId="77494669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5B3E"/>
    <w:multiLevelType w:val="hybridMultilevel"/>
    <w:tmpl w:val="1B20EE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1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4"/>
  </w:num>
  <w:num w:numId="13">
    <w:abstractNumId w:val="24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7"/>
  </w:num>
  <w:num w:numId="19">
    <w:abstractNumId w:val="14"/>
  </w:num>
  <w:num w:numId="20">
    <w:abstractNumId w:val="16"/>
  </w:num>
  <w:num w:numId="21">
    <w:abstractNumId w:val="1"/>
  </w:num>
  <w:num w:numId="22">
    <w:abstractNumId w:val="23"/>
  </w:num>
  <w:num w:numId="23">
    <w:abstractNumId w:val="28"/>
  </w:num>
  <w:num w:numId="24">
    <w:abstractNumId w:val="11"/>
  </w:num>
  <w:num w:numId="25">
    <w:abstractNumId w:val="10"/>
  </w:num>
  <w:num w:numId="26">
    <w:abstractNumId w:val="7"/>
  </w:num>
  <w:num w:numId="27">
    <w:abstractNumId w:val="2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118D"/>
    <w:rsid w:val="001643A7"/>
    <w:rsid w:val="00187084"/>
    <w:rsid w:val="001A791D"/>
    <w:rsid w:val="001B1153"/>
    <w:rsid w:val="001C38A8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963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64FB"/>
    <w:rsid w:val="0041405E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1492A"/>
    <w:rsid w:val="006256C9"/>
    <w:rsid w:val="0063551C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5902"/>
    <w:rsid w:val="00A46046"/>
    <w:rsid w:val="00A46A4C"/>
    <w:rsid w:val="00A60A4F"/>
    <w:rsid w:val="00A73062"/>
    <w:rsid w:val="00A80DBC"/>
    <w:rsid w:val="00A86FD8"/>
    <w:rsid w:val="00A9283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3999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B7BF8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9A99A0"/>
  <w15:chartTrackingRefBased/>
  <w15:docId w15:val="{78F36684-F9B7-466E-9DBC-6728831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</Număr_x0020_HCL>
    <_dlc_DocId xmlns="49ad8bbe-11e1-42b2-a965-6a341b5f7ad4">PMD16-83-2177</_dlc_DocId>
    <_dlc_DocIdUrl xmlns="49ad8bbe-11e1-42b2-a965-6a341b5f7ad4">
      <Url>http://smdoc/Situri/CL/_layouts/15/DocIdRedir.aspx?ID=PMD16-83-2177</Url>
      <Description>PMD16-83-2177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B6AC14-6EE2-468B-8619-8F7E2168D88B}"/>
</file>

<file path=customXml/itemProps2.xml><?xml version="1.0" encoding="utf-8"?>
<ds:datastoreItem xmlns:ds="http://schemas.openxmlformats.org/officeDocument/2006/customXml" ds:itemID="{34719E32-6345-4176-BCE9-BC68593B1C06}"/>
</file>

<file path=customXml/itemProps3.xml><?xml version="1.0" encoding="utf-8"?>
<ds:datastoreItem xmlns:ds="http://schemas.openxmlformats.org/officeDocument/2006/customXml" ds:itemID="{AC4DECA4-6BD2-4FAE-A40A-8C7025717F48}"/>
</file>

<file path=customXml/itemProps4.xml><?xml version="1.0" encoding="utf-8"?>
<ds:datastoreItem xmlns:ds="http://schemas.openxmlformats.org/officeDocument/2006/customXml" ds:itemID="{074FE2AF-0601-4C0C-8C20-31C78999AAF1}"/>
</file>

<file path=customXml/itemProps5.xml><?xml version="1.0" encoding="utf-8"?>
<ds:datastoreItem xmlns:ds="http://schemas.openxmlformats.org/officeDocument/2006/customXml" ds:itemID="{B296D7BF-03DF-4C68-9484-1DCA85D86859}"/>
</file>

<file path=customXml/itemProps6.xml><?xml version="1.0" encoding="utf-8"?>
<ds:datastoreItem xmlns:ds="http://schemas.openxmlformats.org/officeDocument/2006/customXml" ds:itemID="{EA8F18DD-ADA7-485A-95D0-2EFF38246D60}"/>
</file>

<file path=customXml/itemProps7.xml><?xml version="1.0" encoding="utf-8"?>
<ds:datastoreItem xmlns:ds="http://schemas.openxmlformats.org/officeDocument/2006/customXml" ds:itemID="{1B05D9EB-835B-4CCC-AA11-E980B20A9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3703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cont de executie Municipiul Dej la data de 31 decembrie 2015</dc:subject>
  <dc:creator>Simona</dc:creator>
  <cp:keywords/>
  <cp:lastModifiedBy>Cristi.Rusu</cp:lastModifiedBy>
  <cp:revision>2</cp:revision>
  <cp:lastPrinted>2013-01-12T08:26:00Z</cp:lastPrinted>
  <dcterms:created xsi:type="dcterms:W3CDTF">2016-02-03T09:25:00Z</dcterms:created>
  <dcterms:modified xsi:type="dcterms:W3CDTF">2016-02-03T09:25:00Z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PMD16-83-2170</vt:lpwstr>
  </property>
  <property fmtid="{D5CDD505-2E9C-101B-9397-08002B2CF9AE}" pid="3" name="_dlc_DocIdItemGuid">
    <vt:lpwstr>7dbad8d0-4300-4430-98e3-2906b04e87ef</vt:lpwstr>
  </property>
  <property fmtid="{D5CDD505-2E9C-101B-9397-08002B2CF9AE}" pid="4" name="_dlc_DocIdUrl">
    <vt:lpwstr>http://smdoc/Situri/CL/_layouts/15/DocIdRedir.aspx?ID=PMD16-83-2170, PMD16-83-2170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