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864710" w:rsidRPr="00D522E6" w:rsidRDefault="00A1126E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>
                  <wp:extent cx="476250" cy="733425"/>
                  <wp:effectExtent l="0" t="0" r="0" b="9525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2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:rsidR="00547D60" w:rsidRDefault="00547D60" w:rsidP="0072009D">
      <w:pPr>
        <w:jc w:val="center"/>
        <w:rPr>
          <w:rFonts w:ascii="Tahoma" w:hAnsi="Tahoma" w:cs="Tahoma"/>
          <w:b/>
          <w:sz w:val="24"/>
          <w:szCs w:val="24"/>
          <w:u w:val="single"/>
          <w:lang w:val="fr-FR"/>
        </w:rPr>
      </w:pPr>
      <w:r>
        <w:rPr>
          <w:rFonts w:ascii="Tahoma" w:hAnsi="Tahoma" w:cs="Tahoma"/>
          <w:b/>
          <w:sz w:val="24"/>
          <w:szCs w:val="24"/>
          <w:u w:val="single"/>
          <w:lang w:val="fr-FR"/>
        </w:rPr>
        <w:t>H O T Ă R Â R E A  Nr.</w:t>
      </w:r>
      <w:r w:rsidR="00631EA3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110</w:t>
      </w:r>
    </w:p>
    <w:p w:rsidR="00D05AAD" w:rsidRDefault="00D05AAD" w:rsidP="0072009D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proofErr w:type="spellStart"/>
      <w:proofErr w:type="gramStart"/>
      <w:r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Pr="00D05AAD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1934FF">
        <w:rPr>
          <w:rFonts w:ascii="Tahoma" w:hAnsi="Tahoma" w:cs="Tahoma"/>
          <w:b/>
          <w:sz w:val="24"/>
          <w:szCs w:val="24"/>
          <w:lang w:val="fr-FR"/>
        </w:rPr>
        <w:t xml:space="preserve">31 </w:t>
      </w:r>
      <w:proofErr w:type="spellStart"/>
      <w:r w:rsidR="001934FF">
        <w:rPr>
          <w:rFonts w:ascii="Tahoma" w:hAnsi="Tahoma" w:cs="Tahoma"/>
          <w:b/>
          <w:sz w:val="24"/>
          <w:szCs w:val="24"/>
          <w:lang w:val="fr-FR"/>
        </w:rPr>
        <w:t>august</w:t>
      </w:r>
      <w:proofErr w:type="spellEnd"/>
      <w:r w:rsidR="001934FF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275E0D">
        <w:rPr>
          <w:rFonts w:ascii="Tahoma" w:hAnsi="Tahoma" w:cs="Tahoma"/>
          <w:b/>
          <w:sz w:val="24"/>
          <w:szCs w:val="24"/>
          <w:lang w:val="fr-FR"/>
        </w:rPr>
        <w:t>2016</w:t>
      </w:r>
    </w:p>
    <w:p w:rsidR="007B0377" w:rsidRPr="007B0377" w:rsidRDefault="00D05AAD" w:rsidP="007B037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proofErr w:type="spellStart"/>
      <w:proofErr w:type="gramStart"/>
      <w:r w:rsidRPr="000A4BF7">
        <w:rPr>
          <w:rFonts w:ascii="Tahoma" w:hAnsi="Tahoma" w:cs="Tahoma"/>
          <w:b/>
          <w:sz w:val="24"/>
          <w:szCs w:val="24"/>
        </w:rPr>
        <w:t>privind</w:t>
      </w:r>
      <w:proofErr w:type="spellEnd"/>
      <w:proofErr w:type="gramEnd"/>
      <w:r w:rsidRPr="000A4BF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7E375D" w:rsidRPr="000A4BF7">
        <w:rPr>
          <w:rFonts w:ascii="Tahoma" w:hAnsi="Tahoma" w:cs="Tahoma"/>
          <w:b/>
          <w:sz w:val="24"/>
          <w:szCs w:val="24"/>
        </w:rPr>
        <w:t>aprobarea</w:t>
      </w:r>
      <w:proofErr w:type="spellEnd"/>
      <w:r w:rsidR="007E375D" w:rsidRPr="000A4BF7">
        <w:rPr>
          <w:rFonts w:ascii="Tahoma" w:hAnsi="Tahoma" w:cs="Tahoma"/>
          <w:b/>
          <w:sz w:val="24"/>
          <w:szCs w:val="24"/>
        </w:rPr>
        <w:t xml:space="preserve"> </w:t>
      </w:r>
      <w:r w:rsidR="007B0377" w:rsidRPr="007B0377">
        <w:rPr>
          <w:rFonts w:ascii="Tahoma" w:hAnsi="Tahoma" w:cs="Tahoma"/>
          <w:b/>
          <w:sz w:val="24"/>
          <w:szCs w:val="24"/>
          <w:lang w:val="ro-RO"/>
        </w:rPr>
        <w:t>rectificării bugetului</w:t>
      </w:r>
    </w:p>
    <w:p w:rsidR="007B0377" w:rsidRPr="007B0377" w:rsidRDefault="007B0377" w:rsidP="007B0377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de venituri şi cheltuieli al M</w:t>
      </w:r>
      <w:r w:rsidRPr="007B0377">
        <w:rPr>
          <w:rFonts w:ascii="Tahoma" w:hAnsi="Tahoma" w:cs="Tahoma"/>
          <w:b/>
          <w:sz w:val="24"/>
          <w:szCs w:val="24"/>
          <w:lang w:val="ro-RO"/>
        </w:rPr>
        <w:t>unicipiului Dej pe anul 2016</w:t>
      </w:r>
    </w:p>
    <w:p w:rsidR="00A77D21" w:rsidRPr="00A77D21" w:rsidRDefault="00A77D21" w:rsidP="007B0377">
      <w:pPr>
        <w:jc w:val="center"/>
        <w:rPr>
          <w:rFonts w:ascii="Tahoma" w:hAnsi="Tahoma" w:cs="Tahoma"/>
          <w:b/>
          <w:bCs/>
          <w:sz w:val="24"/>
          <w:szCs w:val="24"/>
          <w:lang w:val="fr-FR"/>
        </w:rPr>
      </w:pPr>
    </w:p>
    <w:p w:rsidR="00E16274" w:rsidRDefault="00EC4947" w:rsidP="001934FF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="00275E0D">
        <w:rPr>
          <w:rFonts w:ascii="Tahoma" w:hAnsi="Tahoma" w:cs="Tahoma"/>
          <w:b/>
          <w:bCs/>
          <w:sz w:val="24"/>
          <w:szCs w:val="24"/>
          <w:lang w:val="ro-RO"/>
        </w:rPr>
        <w:t>Consiliul Local al M</w:t>
      </w:r>
      <w:r w:rsidR="00E16274" w:rsidRPr="00C40A8E">
        <w:rPr>
          <w:rFonts w:ascii="Tahoma" w:hAnsi="Tahoma" w:cs="Tahoma"/>
          <w:b/>
          <w:bCs/>
          <w:sz w:val="24"/>
          <w:szCs w:val="24"/>
          <w:lang w:val="ro-RO"/>
        </w:rPr>
        <w:t>unicipiului Dej</w:t>
      </w:r>
      <w:r w:rsidR="00E16274" w:rsidRPr="00C40A8E">
        <w:rPr>
          <w:rFonts w:ascii="Tahoma" w:hAnsi="Tahoma" w:cs="Tahoma"/>
          <w:sz w:val="24"/>
          <w:szCs w:val="24"/>
          <w:lang w:val="ro-RO"/>
        </w:rPr>
        <w:t xml:space="preserve">, întrunit în şedinţă </w:t>
      </w:r>
      <w:r w:rsidR="001934FF">
        <w:rPr>
          <w:rFonts w:ascii="Tahoma" w:hAnsi="Tahoma" w:cs="Tahoma"/>
          <w:sz w:val="24"/>
          <w:szCs w:val="24"/>
          <w:lang w:val="ro-RO"/>
        </w:rPr>
        <w:t xml:space="preserve">ordinară  </w:t>
      </w:r>
      <w:r w:rsidR="00275E0D">
        <w:rPr>
          <w:rFonts w:ascii="Tahoma" w:hAnsi="Tahoma" w:cs="Tahoma"/>
          <w:sz w:val="24"/>
          <w:szCs w:val="24"/>
          <w:lang w:val="ro-RO"/>
        </w:rPr>
        <w:t xml:space="preserve">din data de </w:t>
      </w:r>
      <w:r w:rsidR="001934FF">
        <w:rPr>
          <w:rFonts w:ascii="Tahoma" w:hAnsi="Tahoma" w:cs="Tahoma"/>
          <w:sz w:val="24"/>
          <w:szCs w:val="24"/>
          <w:lang w:val="ro-RO"/>
        </w:rPr>
        <w:t xml:space="preserve">31 august </w:t>
      </w:r>
      <w:r w:rsidR="00275E0D">
        <w:rPr>
          <w:rFonts w:ascii="Tahoma" w:hAnsi="Tahoma" w:cs="Tahoma"/>
          <w:sz w:val="24"/>
          <w:szCs w:val="24"/>
          <w:lang w:val="ro-RO"/>
        </w:rPr>
        <w:t>2016;</w:t>
      </w:r>
    </w:p>
    <w:p w:rsidR="007B0377" w:rsidRPr="007B0377" w:rsidRDefault="008A7725" w:rsidP="007B0377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      </w:t>
      </w:r>
      <w:r w:rsidR="00E16274" w:rsidRPr="008533F8">
        <w:rPr>
          <w:rFonts w:ascii="Tahoma" w:hAnsi="Tahoma" w:cs="Tahoma"/>
          <w:sz w:val="24"/>
          <w:szCs w:val="24"/>
          <w:lang w:val="ro-RO"/>
        </w:rPr>
        <w:t xml:space="preserve">Având în vedere </w:t>
      </w:r>
      <w:r w:rsidR="00E16274" w:rsidRPr="00C40A8E">
        <w:rPr>
          <w:rFonts w:ascii="Tahoma" w:hAnsi="Tahoma" w:cs="Tahoma"/>
          <w:b/>
          <w:sz w:val="24"/>
          <w:szCs w:val="24"/>
          <w:lang w:val="ro-RO"/>
        </w:rPr>
        <w:t>proiectul de hotărâre</w:t>
      </w:r>
      <w:r w:rsidR="00E16274">
        <w:rPr>
          <w:rFonts w:ascii="Tahoma" w:hAnsi="Tahoma" w:cs="Tahoma"/>
          <w:sz w:val="24"/>
          <w:szCs w:val="24"/>
          <w:lang w:val="ro-RO"/>
        </w:rPr>
        <w:t xml:space="preserve">, prezentat din </w:t>
      </w:r>
      <w:r w:rsidR="00E16274" w:rsidRPr="00B66E35">
        <w:rPr>
          <w:rFonts w:ascii="Tahoma" w:hAnsi="Tahoma" w:cs="Tahoma"/>
          <w:b/>
          <w:sz w:val="24"/>
          <w:szCs w:val="24"/>
          <w:lang w:val="ro-RO"/>
        </w:rPr>
        <w:t>iniţiativa</w:t>
      </w:r>
      <w:r w:rsidR="004C36E6">
        <w:rPr>
          <w:rFonts w:ascii="Tahoma" w:hAnsi="Tahoma" w:cs="Tahoma"/>
          <w:b/>
          <w:sz w:val="24"/>
          <w:szCs w:val="24"/>
          <w:lang w:val="ro-RO"/>
        </w:rPr>
        <w:t xml:space="preserve"> primarului Municipiului Dej, </w:t>
      </w:r>
      <w:r w:rsidR="004C36E6">
        <w:rPr>
          <w:rFonts w:ascii="Tahoma" w:hAnsi="Tahoma" w:cs="Tahoma"/>
          <w:sz w:val="24"/>
          <w:szCs w:val="24"/>
          <w:lang w:val="ro-RO"/>
        </w:rPr>
        <w:t xml:space="preserve">întocmit în baza </w:t>
      </w:r>
      <w:r w:rsidR="004C36E6" w:rsidRPr="00D05AAD">
        <w:rPr>
          <w:rFonts w:ascii="Tahoma" w:hAnsi="Tahoma" w:cs="Tahoma"/>
          <w:sz w:val="24"/>
          <w:szCs w:val="24"/>
          <w:lang w:val="ro-RO"/>
        </w:rPr>
        <w:t>Referatului</w:t>
      </w:r>
      <w:r w:rsidR="004C36E6" w:rsidRPr="004C36E6">
        <w:rPr>
          <w:rFonts w:ascii="Tahoma" w:hAnsi="Tahoma" w:cs="Tahoma"/>
          <w:sz w:val="24"/>
          <w:szCs w:val="24"/>
          <w:lang w:val="ro-RO"/>
        </w:rPr>
        <w:t xml:space="preserve"> Nr</w:t>
      </w:r>
      <w:r w:rsidR="001934FF">
        <w:rPr>
          <w:rFonts w:ascii="Tahoma" w:hAnsi="Tahoma" w:cs="Tahoma"/>
          <w:sz w:val="24"/>
          <w:szCs w:val="24"/>
          <w:lang w:val="ro-RO"/>
        </w:rPr>
        <w:t xml:space="preserve">. 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>18</w:t>
      </w:r>
      <w:r w:rsidR="007B0377">
        <w:rPr>
          <w:rFonts w:ascii="Tahoma" w:hAnsi="Tahoma" w:cs="Tahoma"/>
          <w:sz w:val="24"/>
          <w:szCs w:val="24"/>
          <w:lang w:val="ro-RO"/>
        </w:rPr>
        <w:t xml:space="preserve">.876 din 24 </w:t>
      </w:r>
      <w:r w:rsidR="00631EA3">
        <w:rPr>
          <w:rFonts w:ascii="Tahoma" w:hAnsi="Tahoma" w:cs="Tahoma"/>
          <w:sz w:val="24"/>
          <w:szCs w:val="24"/>
          <w:lang w:val="ro-RO"/>
        </w:rPr>
        <w:t>august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 xml:space="preserve"> 2016</w:t>
      </w:r>
      <w:r w:rsidR="00631EA3">
        <w:rPr>
          <w:rFonts w:ascii="Tahoma" w:hAnsi="Tahoma" w:cs="Tahoma"/>
          <w:sz w:val="24"/>
          <w:szCs w:val="24"/>
          <w:lang w:val="ro-RO"/>
        </w:rPr>
        <w:t>, al Direcției E</w:t>
      </w:r>
      <w:r w:rsidR="007B0377">
        <w:rPr>
          <w:rFonts w:ascii="Tahoma" w:hAnsi="Tahoma" w:cs="Tahoma"/>
          <w:sz w:val="24"/>
          <w:szCs w:val="24"/>
          <w:lang w:val="ro-RO"/>
        </w:rPr>
        <w:t xml:space="preserve">conomice din cadrul Primăriei Municipiului Dej, 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 xml:space="preserve">prin care se propune spre </w:t>
      </w:r>
      <w:r w:rsidR="007B0377">
        <w:rPr>
          <w:rFonts w:ascii="Tahoma" w:hAnsi="Tahoma" w:cs="Tahoma"/>
          <w:sz w:val="24"/>
          <w:szCs w:val="24"/>
          <w:lang w:val="ro-RO"/>
        </w:rPr>
        <w:t xml:space="preserve">aprobare 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>rectificarea bugetului de venituri și cheltuieli pe anul 2016</w:t>
      </w:r>
      <w:r w:rsidR="007B0377">
        <w:rPr>
          <w:rFonts w:ascii="Tahoma" w:hAnsi="Tahoma" w:cs="Tahoma"/>
          <w:sz w:val="24"/>
          <w:szCs w:val="24"/>
          <w:lang w:val="ro-RO"/>
        </w:rPr>
        <w:t>, proiect avizat favorabil în ședința de lucru a comisiei economice din data de 31 august 2016;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 xml:space="preserve"> 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ab/>
      </w:r>
    </w:p>
    <w:p w:rsidR="007B0377" w:rsidRPr="007B0377" w:rsidRDefault="007B0377" w:rsidP="007B0377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7B0377">
        <w:rPr>
          <w:rFonts w:ascii="Tahoma" w:hAnsi="Tahoma" w:cs="Tahoma"/>
          <w:sz w:val="24"/>
          <w:szCs w:val="24"/>
          <w:lang w:val="ro-RO"/>
        </w:rPr>
        <w:t>În conformitate cu prevederile</w:t>
      </w:r>
      <w:r w:rsidRPr="007B0377"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art.</w:t>
      </w:r>
      <w:r w:rsidR="00631EA3"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19, alin</w:t>
      </w:r>
      <w:r>
        <w:rPr>
          <w:rFonts w:ascii="Tahoma" w:hAnsi="Tahoma" w:cs="Tahoma"/>
          <w:sz w:val="24"/>
          <w:szCs w:val="24"/>
          <w:lang w:val="ro-RO"/>
        </w:rPr>
        <w:t xml:space="preserve">. </w:t>
      </w:r>
      <w:r w:rsidRPr="007B0377">
        <w:rPr>
          <w:rFonts w:ascii="Tahoma" w:hAnsi="Tahoma" w:cs="Tahoma"/>
          <w:sz w:val="24"/>
          <w:szCs w:val="24"/>
          <w:lang w:val="ro-RO"/>
        </w:rPr>
        <w:t>(2)</w:t>
      </w:r>
      <w:r>
        <w:rPr>
          <w:rFonts w:ascii="Tahoma" w:hAnsi="Tahoma" w:cs="Tahoma"/>
          <w:sz w:val="24"/>
          <w:szCs w:val="24"/>
          <w:lang w:val="ro-RO"/>
        </w:rPr>
        <w:t xml:space="preserve"> din Legea Nr. </w:t>
      </w:r>
      <w:r w:rsidRPr="007B0377">
        <w:rPr>
          <w:rFonts w:ascii="Tahoma" w:hAnsi="Tahoma" w:cs="Tahoma"/>
          <w:sz w:val="24"/>
          <w:szCs w:val="24"/>
          <w:lang w:val="ro-RO"/>
        </w:rPr>
        <w:t>273/2006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-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lege pr</w:t>
      </w:r>
      <w:r>
        <w:rPr>
          <w:rFonts w:ascii="Tahoma" w:hAnsi="Tahoma" w:cs="Tahoma"/>
          <w:sz w:val="24"/>
          <w:szCs w:val="24"/>
          <w:lang w:val="ro-RO"/>
        </w:rPr>
        <w:t>ivind finanţele publice locale,</w:t>
      </w:r>
      <w:r w:rsidRPr="007B0377">
        <w:rPr>
          <w:rFonts w:ascii="Tahoma" w:hAnsi="Tahoma" w:cs="Tahoma"/>
          <w:sz w:val="24"/>
          <w:szCs w:val="24"/>
          <w:lang w:val="ro-RO"/>
        </w:rPr>
        <w:t xml:space="preserve"> cu privire la rectificarea bugetului de venituri și cheltuieli, </w:t>
      </w:r>
    </w:p>
    <w:p w:rsidR="003169BA" w:rsidRPr="00A77D21" w:rsidRDefault="007B0377" w:rsidP="00A77D21">
      <w:pPr>
        <w:ind w:firstLine="425"/>
        <w:jc w:val="both"/>
        <w:rPr>
          <w:rFonts w:ascii="Tahoma" w:hAnsi="Tahoma" w:cs="Tahoma"/>
          <w:sz w:val="24"/>
          <w:szCs w:val="24"/>
        </w:rPr>
      </w:pPr>
      <w:r w:rsidRPr="007B0377">
        <w:rPr>
          <w:rFonts w:ascii="Tahoma" w:hAnsi="Tahoma" w:cs="Tahoma"/>
          <w:sz w:val="24"/>
          <w:szCs w:val="24"/>
          <w:lang w:val="ro-RO"/>
        </w:rPr>
        <w:t>Ținând cont de prevederile art. 36</w:t>
      </w:r>
      <w:r>
        <w:rPr>
          <w:rFonts w:ascii="Tahoma" w:hAnsi="Tahoma" w:cs="Tahoma"/>
          <w:sz w:val="24"/>
          <w:szCs w:val="24"/>
          <w:lang w:val="ro-RO"/>
        </w:rPr>
        <w:t>,</w:t>
      </w:r>
      <w:r w:rsidRPr="007B0377">
        <w:rPr>
          <w:rFonts w:ascii="Tahoma" w:hAnsi="Tahoma" w:cs="Tahoma"/>
          <w:sz w:val="24"/>
          <w:szCs w:val="24"/>
          <w:lang w:val="ro-RO"/>
        </w:rPr>
        <w:t xml:space="preserve">  alin.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(4)</w:t>
      </w:r>
      <w:r>
        <w:rPr>
          <w:rFonts w:ascii="Tahoma" w:hAnsi="Tahoma" w:cs="Tahoma"/>
          <w:sz w:val="24"/>
          <w:szCs w:val="24"/>
          <w:lang w:val="ro-RO"/>
        </w:rPr>
        <w:t xml:space="preserve">, </w:t>
      </w:r>
      <w:r w:rsidRPr="007B0377">
        <w:rPr>
          <w:rFonts w:ascii="Tahoma" w:hAnsi="Tahoma" w:cs="Tahoma"/>
          <w:sz w:val="24"/>
          <w:szCs w:val="24"/>
          <w:lang w:val="ro-RO"/>
        </w:rPr>
        <w:t xml:space="preserve"> lit. a) și art.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45,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alin</w:t>
      </w:r>
      <w:r>
        <w:rPr>
          <w:rFonts w:ascii="Tahoma" w:hAnsi="Tahoma" w:cs="Tahoma"/>
          <w:sz w:val="24"/>
          <w:szCs w:val="24"/>
          <w:lang w:val="ro-RO"/>
        </w:rPr>
        <w:t>.</w:t>
      </w:r>
      <w:r w:rsidRPr="007B0377">
        <w:rPr>
          <w:rFonts w:ascii="Tahoma" w:hAnsi="Tahoma" w:cs="Tahoma"/>
          <w:sz w:val="24"/>
          <w:szCs w:val="24"/>
          <w:lang w:val="ro-RO"/>
        </w:rPr>
        <w:t xml:space="preserve"> (2), lit.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7B0377">
        <w:rPr>
          <w:rFonts w:ascii="Tahoma" w:hAnsi="Tahoma" w:cs="Tahoma"/>
          <w:sz w:val="24"/>
          <w:szCs w:val="24"/>
          <w:lang w:val="ro-RO"/>
        </w:rPr>
        <w:t>a)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="003169BA" w:rsidRPr="00A77D21">
        <w:rPr>
          <w:rFonts w:ascii="Tahoma" w:hAnsi="Tahoma" w:cs="Tahoma"/>
          <w:sz w:val="24"/>
          <w:szCs w:val="24"/>
        </w:rPr>
        <w:t xml:space="preserve">din </w:t>
      </w:r>
      <w:proofErr w:type="spellStart"/>
      <w:r w:rsidR="003169BA" w:rsidRPr="00A77D21">
        <w:rPr>
          <w:rFonts w:ascii="Tahoma" w:hAnsi="Tahoma" w:cs="Tahoma"/>
          <w:sz w:val="24"/>
          <w:szCs w:val="24"/>
        </w:rPr>
        <w:t>Legea</w:t>
      </w:r>
      <w:proofErr w:type="spellEnd"/>
      <w:r w:rsidR="003169BA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169BA" w:rsidRPr="00A77D21">
        <w:rPr>
          <w:rFonts w:ascii="Tahoma" w:hAnsi="Tahoma" w:cs="Tahoma"/>
          <w:sz w:val="24"/>
          <w:szCs w:val="24"/>
        </w:rPr>
        <w:t>Nr</w:t>
      </w:r>
      <w:proofErr w:type="spellEnd"/>
      <w:r w:rsidR="003169BA" w:rsidRPr="00A77D21">
        <w:rPr>
          <w:rFonts w:ascii="Tahoma" w:hAnsi="Tahoma" w:cs="Tahoma"/>
          <w:sz w:val="24"/>
          <w:szCs w:val="24"/>
        </w:rPr>
        <w:t>. 215 /2001</w:t>
      </w:r>
      <w:r w:rsidR="00A500D5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00D5" w:rsidRPr="00A77D21">
        <w:rPr>
          <w:rFonts w:ascii="Tahoma" w:hAnsi="Tahoma" w:cs="Tahoma"/>
          <w:sz w:val="24"/>
          <w:szCs w:val="24"/>
        </w:rPr>
        <w:t>privind</w:t>
      </w:r>
      <w:proofErr w:type="spellEnd"/>
      <w:r w:rsidR="00A500D5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00D5" w:rsidRPr="00A77D21">
        <w:rPr>
          <w:rFonts w:ascii="Tahoma" w:hAnsi="Tahoma" w:cs="Tahoma"/>
          <w:sz w:val="24"/>
          <w:szCs w:val="24"/>
        </w:rPr>
        <w:t>administraţia</w:t>
      </w:r>
      <w:proofErr w:type="spellEnd"/>
      <w:r w:rsidR="00A500D5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500D5" w:rsidRPr="00A77D21">
        <w:rPr>
          <w:rFonts w:ascii="Tahoma" w:hAnsi="Tahoma" w:cs="Tahoma"/>
          <w:sz w:val="24"/>
          <w:szCs w:val="24"/>
        </w:rPr>
        <w:t>publică</w:t>
      </w:r>
      <w:proofErr w:type="spellEnd"/>
      <w:r w:rsidR="00A500D5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169BA" w:rsidRPr="00A77D21">
        <w:rPr>
          <w:rFonts w:ascii="Tahoma" w:hAnsi="Tahoma" w:cs="Tahoma"/>
          <w:sz w:val="24"/>
          <w:szCs w:val="24"/>
        </w:rPr>
        <w:t>locală</w:t>
      </w:r>
      <w:proofErr w:type="spellEnd"/>
      <w:r w:rsidR="003169BA" w:rsidRPr="00A77D2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169BA" w:rsidRPr="00A77D21">
        <w:rPr>
          <w:rFonts w:ascii="Tahoma" w:hAnsi="Tahoma" w:cs="Tahoma"/>
          <w:sz w:val="24"/>
          <w:szCs w:val="24"/>
        </w:rPr>
        <w:t>republicată</w:t>
      </w:r>
      <w:proofErr w:type="spellEnd"/>
      <w:r w:rsidR="003169BA" w:rsidRPr="00A77D21">
        <w:rPr>
          <w:rFonts w:ascii="Tahoma" w:hAnsi="Tahoma" w:cs="Tahoma"/>
          <w:sz w:val="24"/>
          <w:szCs w:val="24"/>
        </w:rPr>
        <w:t xml:space="preserve">, </w:t>
      </w:r>
      <w:r w:rsidR="00547D60" w:rsidRPr="00A77D21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="00547D60" w:rsidRPr="00A77D21">
        <w:rPr>
          <w:rFonts w:ascii="Tahoma" w:hAnsi="Tahoma" w:cs="Tahoma"/>
          <w:sz w:val="24"/>
          <w:szCs w:val="24"/>
        </w:rPr>
        <w:t>completările</w:t>
      </w:r>
      <w:proofErr w:type="spellEnd"/>
      <w:r w:rsidR="00547D60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7D60" w:rsidRPr="00A77D21">
        <w:rPr>
          <w:rFonts w:ascii="Tahoma" w:hAnsi="Tahoma" w:cs="Tahoma"/>
          <w:sz w:val="24"/>
          <w:szCs w:val="24"/>
        </w:rPr>
        <w:t>și</w:t>
      </w:r>
      <w:proofErr w:type="spellEnd"/>
      <w:r w:rsidR="00547D60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7D60" w:rsidRPr="00A77D21">
        <w:rPr>
          <w:rFonts w:ascii="Tahoma" w:hAnsi="Tahoma" w:cs="Tahoma"/>
          <w:sz w:val="24"/>
          <w:szCs w:val="24"/>
        </w:rPr>
        <w:t>modificările</w:t>
      </w:r>
      <w:proofErr w:type="spellEnd"/>
      <w:r w:rsidR="00547D60" w:rsidRPr="00A77D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7D60" w:rsidRPr="00A77D21">
        <w:rPr>
          <w:rFonts w:ascii="Tahoma" w:hAnsi="Tahoma" w:cs="Tahoma"/>
          <w:sz w:val="24"/>
          <w:szCs w:val="24"/>
        </w:rPr>
        <w:t>ulterioare</w:t>
      </w:r>
      <w:proofErr w:type="spellEnd"/>
      <w:r w:rsidR="00547D60" w:rsidRPr="00A77D21">
        <w:rPr>
          <w:rFonts w:ascii="Tahoma" w:hAnsi="Tahoma" w:cs="Tahoma"/>
          <w:sz w:val="24"/>
          <w:szCs w:val="24"/>
        </w:rPr>
        <w:t>,</w:t>
      </w:r>
    </w:p>
    <w:p w:rsidR="001934FF" w:rsidRPr="00A77D21" w:rsidRDefault="001934FF" w:rsidP="001934FF">
      <w:pPr>
        <w:ind w:firstLine="425"/>
        <w:jc w:val="both"/>
        <w:rPr>
          <w:rFonts w:ascii="Tahoma" w:hAnsi="Tahoma" w:cs="Tahoma"/>
          <w:sz w:val="24"/>
          <w:szCs w:val="24"/>
          <w:lang w:val="ro-RO"/>
        </w:rPr>
      </w:pPr>
    </w:p>
    <w:p w:rsidR="008A7725" w:rsidRDefault="00E16274" w:rsidP="00E16274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ro-RO"/>
        </w:rPr>
      </w:pPr>
      <w:r w:rsidRPr="007958E7">
        <w:rPr>
          <w:rFonts w:ascii="Tahoma" w:hAnsi="Tahoma" w:cs="Tahoma"/>
          <w:b/>
          <w:bCs/>
          <w:sz w:val="24"/>
          <w:szCs w:val="24"/>
          <w:u w:val="single"/>
          <w:lang w:val="ro-RO"/>
        </w:rPr>
        <w:t>H O T Ă R Ă Ș T E:</w:t>
      </w:r>
    </w:p>
    <w:p w:rsidR="001934FF" w:rsidRDefault="001934FF" w:rsidP="00E16274">
      <w:pPr>
        <w:jc w:val="center"/>
        <w:rPr>
          <w:rFonts w:ascii="Tahoma" w:hAnsi="Tahoma" w:cs="Tahoma"/>
          <w:b/>
          <w:bCs/>
          <w:sz w:val="24"/>
          <w:szCs w:val="24"/>
          <w:u w:val="single"/>
          <w:lang w:val="ro-RO"/>
        </w:rPr>
      </w:pPr>
    </w:p>
    <w:p w:rsidR="007B0377" w:rsidRPr="007B0377" w:rsidRDefault="008A7725" w:rsidP="007B0377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7F2F02">
        <w:rPr>
          <w:rFonts w:ascii="Tahoma" w:hAnsi="Tahoma" w:cs="Tahoma"/>
          <w:b/>
          <w:bCs/>
          <w:sz w:val="24"/>
          <w:szCs w:val="24"/>
        </w:rPr>
        <w:t xml:space="preserve">         </w:t>
      </w:r>
      <w:r w:rsidR="003169BA" w:rsidRPr="007F2F02">
        <w:rPr>
          <w:rFonts w:ascii="Tahoma" w:hAnsi="Tahoma" w:cs="Tahoma"/>
          <w:b/>
          <w:sz w:val="24"/>
          <w:szCs w:val="24"/>
        </w:rPr>
        <w:tab/>
      </w:r>
      <w:r w:rsidR="001934FF" w:rsidRPr="001934FF">
        <w:rPr>
          <w:rFonts w:ascii="Tahoma" w:hAnsi="Tahoma" w:cs="Tahoma"/>
          <w:b/>
          <w:sz w:val="24"/>
          <w:szCs w:val="24"/>
          <w:u w:val="single"/>
          <w:lang w:val="fr-FR"/>
        </w:rPr>
        <w:t>Art. 1.</w:t>
      </w:r>
      <w:r w:rsidR="001934FF" w:rsidRPr="001934FF">
        <w:rPr>
          <w:rFonts w:ascii="Tahoma" w:hAnsi="Tahoma" w:cs="Tahoma"/>
          <w:b/>
          <w:sz w:val="24"/>
          <w:szCs w:val="24"/>
          <w:lang w:val="ro-RO"/>
        </w:rPr>
        <w:t xml:space="preserve"> Aprobă</w:t>
      </w:r>
      <w:r w:rsidR="001934FF" w:rsidRPr="001934FF">
        <w:rPr>
          <w:rFonts w:ascii="Tahoma" w:hAnsi="Tahoma" w:cs="Tahoma"/>
          <w:sz w:val="24"/>
          <w:szCs w:val="24"/>
          <w:lang w:val="ro-RO"/>
        </w:rPr>
        <w:t xml:space="preserve"> 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>rectificarea bugetulu</w:t>
      </w:r>
      <w:r w:rsidR="007B0377">
        <w:rPr>
          <w:rFonts w:ascii="Tahoma" w:hAnsi="Tahoma" w:cs="Tahoma"/>
          <w:sz w:val="24"/>
          <w:szCs w:val="24"/>
          <w:lang w:val="ro-RO"/>
        </w:rPr>
        <w:t>i de venituri și cheltuieli al M</w:t>
      </w:r>
      <w:r w:rsidR="007B0377" w:rsidRPr="007B0377">
        <w:rPr>
          <w:rFonts w:ascii="Tahoma" w:hAnsi="Tahoma" w:cs="Tahoma"/>
          <w:sz w:val="24"/>
          <w:szCs w:val="24"/>
          <w:lang w:val="ro-RO"/>
        </w:rPr>
        <w:t xml:space="preserve">unicipiului Dej cu </w:t>
      </w:r>
      <w:r w:rsidR="007B0377" w:rsidRPr="007B0377">
        <w:rPr>
          <w:rFonts w:ascii="Tahoma" w:hAnsi="Tahoma" w:cs="Tahoma"/>
          <w:b/>
          <w:sz w:val="24"/>
          <w:szCs w:val="24"/>
          <w:lang w:val="ro-RO"/>
        </w:rPr>
        <w:t>suma de 1226 mii lei</w:t>
      </w:r>
      <w:r w:rsidR="007B0377">
        <w:rPr>
          <w:rFonts w:ascii="Tahoma" w:hAnsi="Tahoma" w:cs="Tahoma"/>
          <w:b/>
          <w:sz w:val="24"/>
          <w:szCs w:val="24"/>
          <w:lang w:val="ro-RO"/>
        </w:rPr>
        <w:t>,</w:t>
      </w:r>
      <w:r w:rsidR="007B0377" w:rsidRPr="007B0377">
        <w:rPr>
          <w:rFonts w:ascii="Tahoma" w:hAnsi="Tahoma" w:cs="Tahoma"/>
          <w:b/>
          <w:sz w:val="24"/>
          <w:szCs w:val="24"/>
          <w:lang w:val="ro-RO"/>
        </w:rPr>
        <w:t xml:space="preserve"> astfel:</w:t>
      </w:r>
    </w:p>
    <w:p w:rsidR="007B0377" w:rsidRPr="007B0377" w:rsidRDefault="007B0377" w:rsidP="007B0377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7B0377"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</w:p>
    <w:tbl>
      <w:tblPr>
        <w:tblW w:w="7915" w:type="dxa"/>
        <w:tblInd w:w="113" w:type="dxa"/>
        <w:tblLook w:val="04A0" w:firstRow="1" w:lastRow="0" w:firstColumn="1" w:lastColumn="0" w:noHBand="0" w:noVBand="1"/>
      </w:tblPr>
      <w:tblGrid>
        <w:gridCol w:w="2155"/>
        <w:gridCol w:w="1980"/>
        <w:gridCol w:w="1710"/>
        <w:gridCol w:w="2070"/>
      </w:tblGrid>
      <w:tr w:rsidR="007B0377" w:rsidRPr="007B0377" w:rsidTr="00E97584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  <w:t>Cod indicator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  <w:t>Buget inițial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  <w:t>Influență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b/>
                <w:color w:val="000000"/>
                <w:sz w:val="24"/>
                <w:szCs w:val="24"/>
                <w:lang w:val="ro-RO"/>
              </w:rPr>
              <w:t>Buget final</w:t>
            </w:r>
          </w:p>
        </w:tc>
      </w:tr>
      <w:tr w:rsidR="007B0377" w:rsidRPr="007B0377" w:rsidTr="00E97584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Venituri totale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89.740,51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1</w:t>
            </w:r>
            <w:r w:rsidR="00631EA3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.</w:t>
            </w: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226,00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90.966,51</w:t>
            </w:r>
          </w:p>
        </w:tc>
      </w:tr>
      <w:tr w:rsidR="007B0377" w:rsidRPr="007B0377" w:rsidTr="00E97584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11.02.02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25.555,00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1</w:t>
            </w:r>
            <w:r w:rsidR="00631EA3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.</w:t>
            </w: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226,00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26.781,00</w:t>
            </w:r>
          </w:p>
        </w:tc>
      </w:tr>
      <w:tr w:rsidR="007B0377" w:rsidRPr="007B0377" w:rsidTr="00E97584">
        <w:trPr>
          <w:trHeight w:val="30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sz w:val="24"/>
                <w:szCs w:val="24"/>
                <w:lang w:val="ro-RO"/>
              </w:rPr>
            </w:pPr>
          </w:p>
        </w:tc>
      </w:tr>
      <w:tr w:rsidR="007B0377" w:rsidRPr="007B0377" w:rsidTr="00E97584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Cod indicator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Buget inițial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Influență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Buget final</w:t>
            </w:r>
          </w:p>
        </w:tc>
      </w:tr>
      <w:tr w:rsidR="007B0377" w:rsidRPr="007B0377" w:rsidTr="00E97584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 xml:space="preserve">Cheltuieli totale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89.740,51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1</w:t>
            </w:r>
            <w:r w:rsidR="00631EA3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.</w:t>
            </w: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226,00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90.966,51</w:t>
            </w:r>
          </w:p>
        </w:tc>
      </w:tr>
      <w:tr w:rsidR="007B0377" w:rsidRPr="007B0377" w:rsidTr="007B0377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4A1D65">
            <w:pPr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Cap.65.02.10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19.369,00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1</w:t>
            </w:r>
            <w:r w:rsidR="00631EA3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.</w:t>
            </w: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226,00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377" w:rsidRPr="007B0377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  <w:r w:rsidRPr="007B0377"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  <w:t>20.595,00</w:t>
            </w:r>
          </w:p>
        </w:tc>
      </w:tr>
      <w:tr w:rsidR="007B0377" w:rsidRPr="004A1D65" w:rsidTr="004A1D65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377" w:rsidRPr="004A1D65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377" w:rsidRPr="004A1D65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377" w:rsidRPr="004A1D65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0377" w:rsidRPr="004A1D65" w:rsidRDefault="007B0377" w:rsidP="007B0377">
            <w:pPr>
              <w:jc w:val="right"/>
              <w:rPr>
                <w:rFonts w:ascii="Tahoma" w:hAnsi="Tahoma" w:cs="Tahoma"/>
                <w:color w:val="000000"/>
                <w:sz w:val="24"/>
                <w:szCs w:val="24"/>
                <w:lang w:val="ro-RO"/>
              </w:rPr>
            </w:pPr>
          </w:p>
        </w:tc>
      </w:tr>
      <w:tr w:rsidR="004A1D65" w:rsidRPr="007B0377" w:rsidTr="004A1D65">
        <w:trPr>
          <w:trHeight w:val="8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65" w:rsidRPr="007B0377" w:rsidRDefault="004A1D65" w:rsidP="004A1D6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65" w:rsidRPr="007B0377" w:rsidRDefault="004A1D65" w:rsidP="007B037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65" w:rsidRPr="007B0377" w:rsidRDefault="004A1D65" w:rsidP="007B037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D65" w:rsidRPr="007B0377" w:rsidRDefault="004A1D65" w:rsidP="007B0377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o-RO"/>
              </w:rPr>
            </w:pPr>
          </w:p>
        </w:tc>
      </w:tr>
    </w:tbl>
    <w:p w:rsidR="004A1D65" w:rsidRDefault="007B0377" w:rsidP="007B0377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7B0377">
        <w:rPr>
          <w:rFonts w:ascii="Tahoma" w:hAnsi="Tahoma" w:cs="Tahoma"/>
          <w:b/>
          <w:sz w:val="24"/>
          <w:szCs w:val="24"/>
          <w:lang w:val="ro-RO"/>
        </w:rPr>
        <w:t xml:space="preserve">      </w:t>
      </w:r>
    </w:p>
    <w:p w:rsidR="007B0377" w:rsidRPr="004A1D65" w:rsidRDefault="007B0377" w:rsidP="004A1D65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r w:rsidRPr="004A1D65">
        <w:rPr>
          <w:rFonts w:ascii="Tahoma" w:hAnsi="Tahoma" w:cs="Tahoma"/>
          <w:b/>
          <w:sz w:val="24"/>
          <w:szCs w:val="24"/>
          <w:u w:val="single"/>
          <w:lang w:val="ro-RO"/>
        </w:rPr>
        <w:t>Art. 2.</w:t>
      </w:r>
      <w:r w:rsidRPr="007B0377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4A1D65">
        <w:rPr>
          <w:rFonts w:ascii="Tahoma" w:hAnsi="Tahoma" w:cs="Tahoma"/>
          <w:sz w:val="24"/>
          <w:szCs w:val="24"/>
          <w:lang w:val="ro-RO"/>
        </w:rPr>
        <w:t>Cu ducerea la îndeplinire</w:t>
      </w:r>
      <w:r w:rsidR="004A1D65">
        <w:rPr>
          <w:rFonts w:ascii="Tahoma" w:hAnsi="Tahoma" w:cs="Tahoma"/>
          <w:sz w:val="24"/>
          <w:szCs w:val="24"/>
          <w:lang w:val="ro-RO"/>
        </w:rPr>
        <w:t xml:space="preserve"> a prevederilor prezentei hotărâri</w:t>
      </w:r>
      <w:r w:rsidRPr="004A1D65">
        <w:rPr>
          <w:rFonts w:ascii="Tahoma" w:hAnsi="Tahoma" w:cs="Tahoma"/>
          <w:sz w:val="24"/>
          <w:szCs w:val="24"/>
          <w:lang w:val="ro-RO"/>
        </w:rPr>
        <w:t xml:space="preserve"> se încredinţează  Direcția Eco</w:t>
      </w:r>
      <w:r w:rsidR="004A1D65">
        <w:rPr>
          <w:rFonts w:ascii="Tahoma" w:hAnsi="Tahoma" w:cs="Tahoma"/>
          <w:sz w:val="24"/>
          <w:szCs w:val="24"/>
          <w:lang w:val="ro-RO"/>
        </w:rPr>
        <w:t>nomică din cadrul Municipiului Dej</w:t>
      </w:r>
      <w:r w:rsidRPr="004A1D65">
        <w:rPr>
          <w:rFonts w:ascii="Tahoma" w:hAnsi="Tahoma" w:cs="Tahoma"/>
          <w:sz w:val="24"/>
          <w:szCs w:val="24"/>
          <w:lang w:val="ro-RO"/>
        </w:rPr>
        <w:t>.</w:t>
      </w:r>
    </w:p>
    <w:p w:rsidR="007B0377" w:rsidRPr="007B0377" w:rsidRDefault="007B0377" w:rsidP="007B0377">
      <w:p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7B0377">
        <w:rPr>
          <w:rFonts w:ascii="Tahoma" w:hAnsi="Tahoma" w:cs="Tahoma"/>
          <w:b/>
          <w:sz w:val="24"/>
          <w:szCs w:val="24"/>
          <w:lang w:val="ro-RO"/>
        </w:rPr>
        <w:t xml:space="preserve">  </w:t>
      </w:r>
      <w:r w:rsidRPr="007B0377">
        <w:rPr>
          <w:rFonts w:ascii="Tahoma" w:hAnsi="Tahoma" w:cs="Tahoma"/>
          <w:b/>
          <w:sz w:val="24"/>
          <w:szCs w:val="24"/>
          <w:lang w:val="ro-RO"/>
        </w:rPr>
        <w:tab/>
      </w:r>
    </w:p>
    <w:p w:rsidR="006A61E1" w:rsidRDefault="006A61E1" w:rsidP="007B0377">
      <w:pPr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:rsidR="00A43464" w:rsidRDefault="00A43464" w:rsidP="001934FF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P</w:t>
      </w:r>
      <w:r w:rsidRPr="005C1361">
        <w:rPr>
          <w:rFonts w:ascii="Tahoma" w:hAnsi="Tahoma" w:cs="Tahoma"/>
          <w:b/>
          <w:sz w:val="24"/>
          <w:szCs w:val="24"/>
          <w:lang w:val="ro-RO"/>
        </w:rPr>
        <w:t>reşedinte de şedinţă,</w:t>
      </w:r>
    </w:p>
    <w:p w:rsidR="006A61E1" w:rsidRDefault="004A1D65" w:rsidP="001934FF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>Giurgiu Gheorghe</w:t>
      </w:r>
    </w:p>
    <w:p w:rsidR="00204723" w:rsidRDefault="00204723" w:rsidP="00A43464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A43464" w:rsidRDefault="00A43464" w:rsidP="00A43464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A43464" w:rsidRPr="009672F1" w:rsidRDefault="00A43464" w:rsidP="00A43464">
      <w:pPr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  </w:t>
      </w:r>
      <w:r w:rsidRPr="009672F1">
        <w:rPr>
          <w:rFonts w:ascii="Tahoma" w:hAnsi="Tahoma" w:cs="Tahoma"/>
          <w:b/>
          <w:lang w:val="ro-RO"/>
        </w:rPr>
        <w:t xml:space="preserve">Nr. consilieri în </w:t>
      </w:r>
      <w:proofErr w:type="spellStart"/>
      <w:r w:rsidRPr="009672F1">
        <w:rPr>
          <w:rFonts w:ascii="Tahoma" w:hAnsi="Tahoma" w:cs="Tahoma"/>
          <w:b/>
          <w:lang w:val="ro-RO"/>
        </w:rPr>
        <w:t>funcţie</w:t>
      </w:r>
      <w:proofErr w:type="spellEnd"/>
      <w:r w:rsidRPr="009672F1">
        <w:rPr>
          <w:rFonts w:ascii="Tahoma" w:hAnsi="Tahoma" w:cs="Tahoma"/>
          <w:b/>
          <w:lang w:val="ro-RO"/>
        </w:rPr>
        <w:t xml:space="preserve"> - 19</w:t>
      </w:r>
      <w:r w:rsidRPr="009672F1">
        <w:rPr>
          <w:rFonts w:ascii="Tahoma" w:hAnsi="Tahoma" w:cs="Tahoma"/>
          <w:b/>
          <w:lang w:val="ro-RO"/>
        </w:rPr>
        <w:tab/>
        <w:t xml:space="preserve">        </w:t>
      </w:r>
      <w:r>
        <w:rPr>
          <w:rFonts w:ascii="Tahoma" w:hAnsi="Tahoma" w:cs="Tahoma"/>
          <w:b/>
          <w:lang w:val="ro-RO"/>
        </w:rPr>
        <w:t xml:space="preserve">   </w:t>
      </w:r>
      <w:r w:rsidRPr="009672F1">
        <w:rPr>
          <w:rFonts w:ascii="Tahoma" w:hAnsi="Tahoma" w:cs="Tahoma"/>
          <w:b/>
          <w:lang w:val="ro-RO"/>
        </w:rPr>
        <w:t xml:space="preserve"> </w:t>
      </w:r>
      <w:r>
        <w:rPr>
          <w:rFonts w:ascii="Tahoma" w:hAnsi="Tahoma" w:cs="Tahoma"/>
          <w:b/>
          <w:lang w:val="ro-RO"/>
        </w:rPr>
        <w:t xml:space="preserve">       </w:t>
      </w:r>
      <w:r w:rsidR="00547D60">
        <w:rPr>
          <w:rFonts w:ascii="Tahoma" w:hAnsi="Tahoma" w:cs="Tahoma"/>
          <w:b/>
          <w:lang w:val="ro-RO"/>
        </w:rPr>
        <w:t xml:space="preserve">                           </w:t>
      </w:r>
      <w:r>
        <w:rPr>
          <w:rFonts w:ascii="Tahoma" w:hAnsi="Tahoma" w:cs="Tahoma"/>
          <w:b/>
          <w:lang w:val="ro-RO"/>
        </w:rPr>
        <w:t xml:space="preserve"> </w:t>
      </w:r>
      <w:r w:rsidRPr="009672F1">
        <w:rPr>
          <w:rFonts w:ascii="Tahoma" w:hAnsi="Tahoma" w:cs="Tahoma"/>
          <w:b/>
          <w:lang w:val="ro-RO"/>
        </w:rPr>
        <w:t xml:space="preserve"> </w:t>
      </w:r>
      <w:proofErr w:type="spellStart"/>
      <w:r w:rsidRPr="009672F1">
        <w:rPr>
          <w:rFonts w:ascii="Tahoma" w:hAnsi="Tahoma" w:cs="Tahoma"/>
          <w:b/>
          <w:lang w:val="ro-RO"/>
        </w:rPr>
        <w:t>Constrasemnează</w:t>
      </w:r>
      <w:proofErr w:type="spellEnd"/>
      <w:r w:rsidRPr="009672F1">
        <w:rPr>
          <w:rFonts w:ascii="Tahoma" w:hAnsi="Tahoma" w:cs="Tahoma"/>
          <w:b/>
          <w:lang w:val="ro-RO"/>
        </w:rPr>
        <w:t>,</w:t>
      </w:r>
      <w:r w:rsidRPr="009672F1">
        <w:rPr>
          <w:rFonts w:ascii="Tahoma" w:hAnsi="Tahoma" w:cs="Tahoma"/>
          <w:b/>
          <w:lang w:val="ro-RO"/>
        </w:rPr>
        <w:tab/>
      </w:r>
    </w:p>
    <w:p w:rsidR="00A43464" w:rsidRPr="009672F1" w:rsidRDefault="00A43464" w:rsidP="00A43464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</w:t>
      </w:r>
      <w:r w:rsidR="00CD329A">
        <w:rPr>
          <w:rFonts w:ascii="Tahoma" w:hAnsi="Tahoma" w:cs="Tahoma"/>
          <w:b/>
          <w:lang w:val="ro-RO"/>
        </w:rPr>
        <w:t xml:space="preserve">   Nr. consilieri </w:t>
      </w:r>
      <w:proofErr w:type="spellStart"/>
      <w:r w:rsidR="00CD329A">
        <w:rPr>
          <w:rFonts w:ascii="Tahoma" w:hAnsi="Tahoma" w:cs="Tahoma"/>
          <w:b/>
          <w:lang w:val="ro-RO"/>
        </w:rPr>
        <w:t>prezenţi</w:t>
      </w:r>
      <w:proofErr w:type="spellEnd"/>
      <w:r w:rsidR="00CD329A">
        <w:rPr>
          <w:rFonts w:ascii="Tahoma" w:hAnsi="Tahoma" w:cs="Tahoma"/>
          <w:b/>
          <w:lang w:val="ro-RO"/>
        </w:rPr>
        <w:t xml:space="preserve">    -</w:t>
      </w:r>
      <w:r w:rsidR="00631EA3">
        <w:rPr>
          <w:rFonts w:ascii="Tahoma" w:hAnsi="Tahoma" w:cs="Tahoma"/>
          <w:b/>
          <w:lang w:val="ro-RO"/>
        </w:rPr>
        <w:t>18</w:t>
      </w:r>
      <w:r>
        <w:rPr>
          <w:rFonts w:ascii="Tahoma" w:hAnsi="Tahoma" w:cs="Tahoma"/>
          <w:b/>
          <w:lang w:val="ro-RO"/>
        </w:rPr>
        <w:t xml:space="preserve">                                                         </w:t>
      </w:r>
      <w:r w:rsidR="007958E7">
        <w:rPr>
          <w:rFonts w:ascii="Tahoma" w:hAnsi="Tahoma" w:cs="Tahoma"/>
          <w:b/>
          <w:lang w:val="ro-RO"/>
        </w:rPr>
        <w:t xml:space="preserve">  </w:t>
      </w:r>
      <w:r>
        <w:rPr>
          <w:rFonts w:ascii="Tahoma" w:hAnsi="Tahoma" w:cs="Tahoma"/>
          <w:b/>
          <w:lang w:val="ro-RO"/>
        </w:rPr>
        <w:t xml:space="preserve"> </w:t>
      </w:r>
      <w:r w:rsidRPr="009672F1">
        <w:rPr>
          <w:rFonts w:ascii="Tahoma" w:hAnsi="Tahoma" w:cs="Tahoma"/>
          <w:b/>
          <w:lang w:val="ro-RO"/>
        </w:rPr>
        <w:t xml:space="preserve">Secretar </w:t>
      </w:r>
    </w:p>
    <w:p w:rsidR="00A43464" w:rsidRPr="009672F1" w:rsidRDefault="00A43464" w:rsidP="00A43464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</w:t>
      </w:r>
      <w:r w:rsidR="00CD329A">
        <w:rPr>
          <w:rFonts w:ascii="Tahoma" w:hAnsi="Tahoma" w:cs="Tahoma"/>
          <w:b/>
          <w:lang w:val="ro-RO"/>
        </w:rPr>
        <w:t xml:space="preserve"> Nr. voturi pentru            -</w:t>
      </w:r>
      <w:r w:rsidR="006A27A5">
        <w:rPr>
          <w:rFonts w:ascii="Tahoma" w:hAnsi="Tahoma" w:cs="Tahoma"/>
          <w:b/>
          <w:lang w:val="ro-RO"/>
        </w:rPr>
        <w:t>18</w:t>
      </w:r>
      <w:bookmarkStart w:id="0" w:name="_GoBack"/>
      <w:bookmarkEnd w:id="0"/>
      <w:r w:rsidRPr="009672F1">
        <w:rPr>
          <w:rFonts w:ascii="Tahoma" w:hAnsi="Tahoma" w:cs="Tahoma"/>
          <w:b/>
          <w:lang w:val="ro-RO"/>
        </w:rPr>
        <w:t xml:space="preserve">                       </w:t>
      </w:r>
      <w:r>
        <w:rPr>
          <w:rFonts w:ascii="Tahoma" w:hAnsi="Tahoma" w:cs="Tahoma"/>
          <w:b/>
          <w:lang w:val="ro-RO"/>
        </w:rPr>
        <w:t xml:space="preserve">        </w:t>
      </w:r>
      <w:r w:rsidRPr="009672F1">
        <w:rPr>
          <w:rFonts w:ascii="Tahoma" w:hAnsi="Tahoma" w:cs="Tahoma"/>
          <w:b/>
          <w:lang w:val="ro-RO"/>
        </w:rPr>
        <w:t xml:space="preserve">  </w:t>
      </w:r>
      <w:r>
        <w:rPr>
          <w:rFonts w:ascii="Tahoma" w:hAnsi="Tahoma" w:cs="Tahoma"/>
          <w:b/>
          <w:lang w:val="ro-RO"/>
        </w:rPr>
        <w:t xml:space="preserve">                     </w:t>
      </w:r>
      <w:r w:rsidR="00547D60">
        <w:rPr>
          <w:rFonts w:ascii="Tahoma" w:hAnsi="Tahoma" w:cs="Tahoma"/>
          <w:b/>
          <w:lang w:val="ro-RO"/>
        </w:rPr>
        <w:t>Jr. Pop Cristina</w:t>
      </w:r>
    </w:p>
    <w:p w:rsidR="00A43464" w:rsidRPr="009672F1" w:rsidRDefault="00A43464" w:rsidP="00A43464">
      <w:pPr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Nr. voturi împotrivă       </w:t>
      </w:r>
      <w:r w:rsidRPr="009672F1">
        <w:rPr>
          <w:rFonts w:ascii="Tahoma" w:hAnsi="Tahoma" w:cs="Tahoma"/>
          <w:b/>
          <w:lang w:val="ro-RO"/>
        </w:rPr>
        <w:t xml:space="preserve">- </w:t>
      </w:r>
    </w:p>
    <w:p w:rsidR="002573EA" w:rsidRPr="007958E7" w:rsidRDefault="00A43464" w:rsidP="0074763B">
      <w:pPr>
        <w:jc w:val="both"/>
        <w:rPr>
          <w:rFonts w:ascii="Tahoma" w:hAnsi="Tahoma" w:cs="Tahoma"/>
          <w:b/>
          <w:color w:val="000000"/>
          <w:szCs w:val="24"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Abţineri</w:t>
      </w:r>
      <w:r w:rsidRPr="009672F1">
        <w:rPr>
          <w:rFonts w:ascii="Tahoma" w:hAnsi="Tahoma" w:cs="Tahoma"/>
          <w:b/>
          <w:lang w:val="ro-RO"/>
        </w:rPr>
        <w:t xml:space="preserve"> </w:t>
      </w:r>
      <w:r w:rsidRPr="009672F1">
        <w:rPr>
          <w:rFonts w:ascii="Tahoma" w:hAnsi="Tahoma" w:cs="Tahoma"/>
          <w:b/>
          <w:lang w:val="ro-RO"/>
        </w:rPr>
        <w:tab/>
      </w:r>
      <w:r w:rsidRPr="009672F1">
        <w:rPr>
          <w:rFonts w:ascii="Tahoma" w:hAnsi="Tahoma" w:cs="Tahoma"/>
          <w:b/>
          <w:lang w:val="ro-RO"/>
        </w:rPr>
        <w:tab/>
      </w:r>
      <w:r w:rsidR="0074763B">
        <w:rPr>
          <w:rFonts w:ascii="Tahoma" w:hAnsi="Tahoma" w:cs="Tahoma"/>
          <w:b/>
          <w:lang w:val="ro-RO"/>
        </w:rPr>
        <w:t xml:space="preserve">  -</w:t>
      </w:r>
      <w:r w:rsidR="008A7725">
        <w:rPr>
          <w:rFonts w:ascii="Tahoma" w:hAnsi="Tahoma" w:cs="Tahoma"/>
          <w:b/>
          <w:lang w:val="ro-RO"/>
        </w:rPr>
        <w:t xml:space="preserve"> </w:t>
      </w:r>
      <w:r w:rsidRPr="009672F1">
        <w:rPr>
          <w:rFonts w:ascii="Tahoma" w:hAnsi="Tahoma" w:cs="Tahoma"/>
          <w:b/>
          <w:lang w:val="ro-RO"/>
        </w:rPr>
        <w:tab/>
      </w:r>
    </w:p>
    <w:sectPr w:rsidR="002573EA" w:rsidRPr="007958E7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A76CE"/>
    <w:multiLevelType w:val="hybridMultilevel"/>
    <w:tmpl w:val="D2C0A6DE"/>
    <w:lvl w:ilvl="0" w:tplc="9502E8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F52431"/>
    <w:multiLevelType w:val="hybridMultilevel"/>
    <w:tmpl w:val="B7081E5E"/>
    <w:lvl w:ilvl="0" w:tplc="A9B03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C9006E1"/>
    <w:multiLevelType w:val="hybridMultilevel"/>
    <w:tmpl w:val="CC823E82"/>
    <w:lvl w:ilvl="0" w:tplc="93D4C4E8">
      <w:start w:val="1"/>
      <w:numFmt w:val="decimal"/>
      <w:lvlText w:val="%1."/>
      <w:lvlJc w:val="left"/>
      <w:pPr>
        <w:ind w:left="1065" w:hanging="360"/>
      </w:pPr>
      <w:rPr>
        <w:rFonts w:ascii="Tahoma" w:hAnsi="Tahoma" w:cs="Tahoma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15"/>
  </w:num>
  <w:num w:numId="12">
    <w:abstractNumId w:val="3"/>
  </w:num>
  <w:num w:numId="13">
    <w:abstractNumId w:val="16"/>
  </w:num>
  <w:num w:numId="14">
    <w:abstractNumId w:val="5"/>
  </w:num>
  <w:num w:numId="15">
    <w:abstractNumId w:val="4"/>
  </w:num>
  <w:num w:numId="16">
    <w:abstractNumId w:val="1"/>
  </w:num>
  <w:num w:numId="17">
    <w:abstractNumId w:val="0"/>
  </w:num>
  <w:num w:numId="18">
    <w:abstractNumId w:val="19"/>
  </w:num>
  <w:num w:numId="19">
    <w:abstractNumId w:val="2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52DE"/>
    <w:rsid w:val="000373B9"/>
    <w:rsid w:val="00041DD4"/>
    <w:rsid w:val="00041E56"/>
    <w:rsid w:val="00066A73"/>
    <w:rsid w:val="000771F7"/>
    <w:rsid w:val="00096259"/>
    <w:rsid w:val="000A4BF7"/>
    <w:rsid w:val="000B7893"/>
    <w:rsid w:val="000E402A"/>
    <w:rsid w:val="00113174"/>
    <w:rsid w:val="0011470C"/>
    <w:rsid w:val="00124AB5"/>
    <w:rsid w:val="001258E5"/>
    <w:rsid w:val="001525DB"/>
    <w:rsid w:val="00154A03"/>
    <w:rsid w:val="001643A7"/>
    <w:rsid w:val="00173400"/>
    <w:rsid w:val="00185E70"/>
    <w:rsid w:val="001934FF"/>
    <w:rsid w:val="001B1153"/>
    <w:rsid w:val="001E31D6"/>
    <w:rsid w:val="001E5965"/>
    <w:rsid w:val="002008C7"/>
    <w:rsid w:val="00204723"/>
    <w:rsid w:val="00212B40"/>
    <w:rsid w:val="002370D8"/>
    <w:rsid w:val="00237EC5"/>
    <w:rsid w:val="00241745"/>
    <w:rsid w:val="0024600F"/>
    <w:rsid w:val="00247F6F"/>
    <w:rsid w:val="002573EA"/>
    <w:rsid w:val="00260A90"/>
    <w:rsid w:val="00271715"/>
    <w:rsid w:val="00272AA3"/>
    <w:rsid w:val="00275E0D"/>
    <w:rsid w:val="002855C3"/>
    <w:rsid w:val="002A4D82"/>
    <w:rsid w:val="002C674A"/>
    <w:rsid w:val="002E16DE"/>
    <w:rsid w:val="002F1A17"/>
    <w:rsid w:val="00301777"/>
    <w:rsid w:val="00307656"/>
    <w:rsid w:val="00310072"/>
    <w:rsid w:val="003169BA"/>
    <w:rsid w:val="00327459"/>
    <w:rsid w:val="00337462"/>
    <w:rsid w:val="0036050E"/>
    <w:rsid w:val="00361D44"/>
    <w:rsid w:val="00381CA2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D6365"/>
    <w:rsid w:val="003E0B97"/>
    <w:rsid w:val="003E0BE6"/>
    <w:rsid w:val="003F614A"/>
    <w:rsid w:val="00416627"/>
    <w:rsid w:val="00416AF7"/>
    <w:rsid w:val="00420E00"/>
    <w:rsid w:val="00446468"/>
    <w:rsid w:val="00455CD2"/>
    <w:rsid w:val="004852C8"/>
    <w:rsid w:val="00493F0E"/>
    <w:rsid w:val="004A1D65"/>
    <w:rsid w:val="004C36E6"/>
    <w:rsid w:val="004D401F"/>
    <w:rsid w:val="004D5669"/>
    <w:rsid w:val="004E3066"/>
    <w:rsid w:val="004E4F90"/>
    <w:rsid w:val="004F33F4"/>
    <w:rsid w:val="004F3E04"/>
    <w:rsid w:val="004F51EB"/>
    <w:rsid w:val="00517203"/>
    <w:rsid w:val="00520FCC"/>
    <w:rsid w:val="005215EB"/>
    <w:rsid w:val="00530D75"/>
    <w:rsid w:val="0053123B"/>
    <w:rsid w:val="00547D60"/>
    <w:rsid w:val="00551F5B"/>
    <w:rsid w:val="005610FC"/>
    <w:rsid w:val="00566A01"/>
    <w:rsid w:val="00576953"/>
    <w:rsid w:val="00577510"/>
    <w:rsid w:val="005848B8"/>
    <w:rsid w:val="005B773E"/>
    <w:rsid w:val="005D2666"/>
    <w:rsid w:val="005D666C"/>
    <w:rsid w:val="005D7F7F"/>
    <w:rsid w:val="005E57C7"/>
    <w:rsid w:val="005F234A"/>
    <w:rsid w:val="005F75A3"/>
    <w:rsid w:val="006256C9"/>
    <w:rsid w:val="006264F4"/>
    <w:rsid w:val="00630DB3"/>
    <w:rsid w:val="00631EA3"/>
    <w:rsid w:val="00636F0E"/>
    <w:rsid w:val="006477B1"/>
    <w:rsid w:val="006665FB"/>
    <w:rsid w:val="0067225D"/>
    <w:rsid w:val="00674040"/>
    <w:rsid w:val="00683455"/>
    <w:rsid w:val="00697EC3"/>
    <w:rsid w:val="006A27A5"/>
    <w:rsid w:val="006A61E1"/>
    <w:rsid w:val="006C5DA4"/>
    <w:rsid w:val="006D6037"/>
    <w:rsid w:val="006F2236"/>
    <w:rsid w:val="006F7836"/>
    <w:rsid w:val="00701055"/>
    <w:rsid w:val="0070305B"/>
    <w:rsid w:val="0072009D"/>
    <w:rsid w:val="00733C0D"/>
    <w:rsid w:val="00735109"/>
    <w:rsid w:val="00735509"/>
    <w:rsid w:val="0074763B"/>
    <w:rsid w:val="007546E8"/>
    <w:rsid w:val="00780A94"/>
    <w:rsid w:val="00787784"/>
    <w:rsid w:val="007955BF"/>
    <w:rsid w:val="007958E7"/>
    <w:rsid w:val="007A11EF"/>
    <w:rsid w:val="007A1AEF"/>
    <w:rsid w:val="007A59E4"/>
    <w:rsid w:val="007A649B"/>
    <w:rsid w:val="007A6AAD"/>
    <w:rsid w:val="007B0377"/>
    <w:rsid w:val="007D151B"/>
    <w:rsid w:val="007D27E1"/>
    <w:rsid w:val="007E375D"/>
    <w:rsid w:val="007F236F"/>
    <w:rsid w:val="007F2CCF"/>
    <w:rsid w:val="007F2F02"/>
    <w:rsid w:val="00811A30"/>
    <w:rsid w:val="00816C31"/>
    <w:rsid w:val="00834291"/>
    <w:rsid w:val="0084007A"/>
    <w:rsid w:val="00841055"/>
    <w:rsid w:val="00846CDF"/>
    <w:rsid w:val="00856CAF"/>
    <w:rsid w:val="00862198"/>
    <w:rsid w:val="00864710"/>
    <w:rsid w:val="00870C1A"/>
    <w:rsid w:val="00885EBD"/>
    <w:rsid w:val="008942F0"/>
    <w:rsid w:val="00895335"/>
    <w:rsid w:val="008A7725"/>
    <w:rsid w:val="008B4281"/>
    <w:rsid w:val="008C5C98"/>
    <w:rsid w:val="008E41B5"/>
    <w:rsid w:val="008F41B3"/>
    <w:rsid w:val="008F736F"/>
    <w:rsid w:val="008F7EAC"/>
    <w:rsid w:val="00904DA3"/>
    <w:rsid w:val="00964912"/>
    <w:rsid w:val="00966F72"/>
    <w:rsid w:val="009713C6"/>
    <w:rsid w:val="0097149E"/>
    <w:rsid w:val="00974947"/>
    <w:rsid w:val="00996EEF"/>
    <w:rsid w:val="009C46E5"/>
    <w:rsid w:val="009D229A"/>
    <w:rsid w:val="009D4660"/>
    <w:rsid w:val="009E7F4C"/>
    <w:rsid w:val="009F744C"/>
    <w:rsid w:val="00A03015"/>
    <w:rsid w:val="00A05DE6"/>
    <w:rsid w:val="00A06566"/>
    <w:rsid w:val="00A1126E"/>
    <w:rsid w:val="00A12162"/>
    <w:rsid w:val="00A16B5E"/>
    <w:rsid w:val="00A30E18"/>
    <w:rsid w:val="00A3529F"/>
    <w:rsid w:val="00A43464"/>
    <w:rsid w:val="00A44B32"/>
    <w:rsid w:val="00A46046"/>
    <w:rsid w:val="00A500D5"/>
    <w:rsid w:val="00A60A4F"/>
    <w:rsid w:val="00A73062"/>
    <w:rsid w:val="00A74CDC"/>
    <w:rsid w:val="00A77D21"/>
    <w:rsid w:val="00A81946"/>
    <w:rsid w:val="00A93031"/>
    <w:rsid w:val="00A9428B"/>
    <w:rsid w:val="00A97528"/>
    <w:rsid w:val="00AA6C63"/>
    <w:rsid w:val="00AB48F7"/>
    <w:rsid w:val="00AB51B8"/>
    <w:rsid w:val="00AE3AAD"/>
    <w:rsid w:val="00AF5BE1"/>
    <w:rsid w:val="00B10CB6"/>
    <w:rsid w:val="00B4700B"/>
    <w:rsid w:val="00B47666"/>
    <w:rsid w:val="00B569C2"/>
    <w:rsid w:val="00B7219B"/>
    <w:rsid w:val="00B74644"/>
    <w:rsid w:val="00B945D5"/>
    <w:rsid w:val="00BB2D39"/>
    <w:rsid w:val="00BC149A"/>
    <w:rsid w:val="00BE2A91"/>
    <w:rsid w:val="00C31A1F"/>
    <w:rsid w:val="00C32295"/>
    <w:rsid w:val="00C7334C"/>
    <w:rsid w:val="00C83388"/>
    <w:rsid w:val="00C87CD9"/>
    <w:rsid w:val="00C90C95"/>
    <w:rsid w:val="00C92E41"/>
    <w:rsid w:val="00CB4934"/>
    <w:rsid w:val="00CC106D"/>
    <w:rsid w:val="00CD329A"/>
    <w:rsid w:val="00CD3F9F"/>
    <w:rsid w:val="00D03009"/>
    <w:rsid w:val="00D03CB3"/>
    <w:rsid w:val="00D05AAD"/>
    <w:rsid w:val="00D05DE7"/>
    <w:rsid w:val="00D51517"/>
    <w:rsid w:val="00D522E6"/>
    <w:rsid w:val="00D63F39"/>
    <w:rsid w:val="00D71002"/>
    <w:rsid w:val="00D719E1"/>
    <w:rsid w:val="00DB78E1"/>
    <w:rsid w:val="00DE3413"/>
    <w:rsid w:val="00DF6433"/>
    <w:rsid w:val="00E0426D"/>
    <w:rsid w:val="00E106DF"/>
    <w:rsid w:val="00E10C76"/>
    <w:rsid w:val="00E16274"/>
    <w:rsid w:val="00E165C9"/>
    <w:rsid w:val="00E25523"/>
    <w:rsid w:val="00E27653"/>
    <w:rsid w:val="00E50973"/>
    <w:rsid w:val="00E633DF"/>
    <w:rsid w:val="00E64210"/>
    <w:rsid w:val="00E7160F"/>
    <w:rsid w:val="00E7284C"/>
    <w:rsid w:val="00E80508"/>
    <w:rsid w:val="00E856A0"/>
    <w:rsid w:val="00EA7E31"/>
    <w:rsid w:val="00EB743B"/>
    <w:rsid w:val="00EC3EAE"/>
    <w:rsid w:val="00EC4947"/>
    <w:rsid w:val="00EC4A14"/>
    <w:rsid w:val="00EC6F88"/>
    <w:rsid w:val="00EC7EAC"/>
    <w:rsid w:val="00ED5161"/>
    <w:rsid w:val="00EE5641"/>
    <w:rsid w:val="00F05745"/>
    <w:rsid w:val="00F147CB"/>
    <w:rsid w:val="00F16E9A"/>
    <w:rsid w:val="00F252EA"/>
    <w:rsid w:val="00F34CF0"/>
    <w:rsid w:val="00F51E70"/>
    <w:rsid w:val="00F53582"/>
    <w:rsid w:val="00F57AC2"/>
    <w:rsid w:val="00F71438"/>
    <w:rsid w:val="00F9481A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B3D5C4-F795-48CB-B9E4-FF92A594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  <w:lang w:val="en-US" w:eastAsia="en-US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primaria@dej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7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7" ma:contentTypeDescription="Tip de conținut pentru HCL" ma:contentTypeScope="" ma:versionID="de59ea55e846af4fcaad61f431c90aa4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2016-08-30T21:00:00+00:00</Data_x0020_HCL>
    <_dlc_BarcodeImage xmlns="49ad8bbe-11e1-42b2-a965-6a341b5f7ad4" xsi:nil="true"/>
    <Ini_x021b_iator xmlns="e8fdd278-b1da-4130-b633-20014baedb31">Primar</Ini_x021b_iator>
    <Număr_x0020_HCL xmlns="e8fdd278-b1da-4130-b633-20014baedb31">110</Număr_x0020_HCL>
    <IconOverlay xmlns="http://schemas.microsoft.com/sharepoint/v4" xsi:nil="true"/>
    <_dlc_DocId xmlns="49ad8bbe-11e1-42b2-a965-6a341b5f7ad4">PMD16-83-2359</_dlc_DocId>
    <_dlc_DocIdUrl xmlns="49ad8bbe-11e1-42b2-a965-6a341b5f7ad4">
      <Url>http://smdoc/Situri/CL/_layouts/15/DocIdRedir.aspx?ID=PMD16-83-2359</Url>
      <Description>PMD16-83-2359</Description>
    </_dlc_DocIdUrl>
    <_dlc_ExpireDateSaved xmlns="http://schemas.microsoft.com/sharepoint/v3" xsi:nil="true"/>
    <_dlc_ExpireDate xmlns="http://schemas.microsoft.com/sharepoint/v3">2016-09-29T21:00:00+00:00</_dlc_ExpireDate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79BB8060-36FC-4562-A76E-595D43A353C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EBA01DF-9371-42E2-B38F-37E90CD1005C}"/>
</file>

<file path=customXml/itemProps3.xml><?xml version="1.0" encoding="utf-8"?>
<ds:datastoreItem xmlns:ds="http://schemas.openxmlformats.org/officeDocument/2006/customXml" ds:itemID="{077A5803-697F-4A0A-921D-87D7F4D32B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D621B5-33C8-4C9B-8987-A764669C38DF}"/>
</file>

<file path=customXml/itemProps5.xml><?xml version="1.0" encoding="utf-8"?>
<ds:datastoreItem xmlns:ds="http://schemas.openxmlformats.org/officeDocument/2006/customXml" ds:itemID="{FBE254DC-1195-41E8-BD86-E58EA25EF48C}">
  <ds:schemaRefs>
    <ds:schemaRef ds:uri="http://schemas.microsoft.com/office/2006/metadata/properties"/>
    <ds:schemaRef ds:uri="http://schemas.microsoft.com/office/infopath/2007/PartnerControls"/>
    <ds:schemaRef ds:uri="49ad8bbe-11e1-42b2-a965-6a341b5f7ad4"/>
    <ds:schemaRef ds:uri="e8fdd278-b1da-4130-b633-20014baedb31"/>
  </ds:schemaRefs>
</ds:datastoreItem>
</file>

<file path=customXml/itemProps6.xml><?xml version="1.0" encoding="utf-8"?>
<ds:datastoreItem xmlns:ds="http://schemas.openxmlformats.org/officeDocument/2006/customXml" ds:itemID="{39C68DF2-54AB-4C2F-AF0A-F4A6F728E45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02FF451-EB90-4F8B-8971-D97FC1DD4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2264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rectificare buget pe anul 2016</dc:subject>
  <dc:creator>Simona</dc:creator>
  <dc:description/>
  <cp:lastModifiedBy>Cristina.Pop</cp:lastModifiedBy>
  <cp:revision>5</cp:revision>
  <cp:lastPrinted>2016-09-01T09:49:00Z</cp:lastPrinted>
  <dcterms:created xsi:type="dcterms:W3CDTF">2016-09-01T08:06:00Z</dcterms:created>
  <dcterms:modified xsi:type="dcterms:W3CDTF">2016-09-01T09:49:00Z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PMD11-83-1390</vt:lpwstr>
  </property>
  <property fmtid="{D5CDD505-2E9C-101B-9397-08002B2CF9AE}" pid="3" name="_dlc_DocIdItemGuid">
    <vt:lpwstr>2beeaf42-2967-4d08-bc94-85c8e58581c6</vt:lpwstr>
  </property>
  <property fmtid="{D5CDD505-2E9C-101B-9397-08002B2CF9AE}" pid="4" name="_dlc_DocIdUrl">
    <vt:lpwstr>http://smdoc/Situri/CL/_layouts/DocIdRedir.aspx?ID=PMD11-83-1390, PMD11-83-1390</vt:lpwstr>
  </property>
  <property fmtid="{D5CDD505-2E9C-101B-9397-08002B2CF9AE}" pid="5" name="ContentTypeId">
    <vt:lpwstr>0x01010043E6431A8687164692561BE4B8E2B9C600B9DBA2A09EED1E4B8F18AABCAE5737FE</vt:lpwstr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</Properties>
</file>