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Default="00E74C7A" w:rsidP="007349F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3D7E88">
        <w:rPr>
          <w:rFonts w:ascii="Tahoma" w:hAnsi="Tahoma" w:cs="Tahoma"/>
          <w:b/>
          <w:u w:val="single"/>
          <w:lang w:eastAsia="ar-SA"/>
        </w:rPr>
        <w:t xml:space="preserve"> 169</w:t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0676C">
        <w:rPr>
          <w:rFonts w:ascii="Tahoma" w:hAnsi="Tahoma" w:cs="Tahoma"/>
          <w:b/>
          <w:lang w:eastAsia="ar-SA"/>
        </w:rPr>
        <w:t>21</w:t>
      </w:r>
      <w:r w:rsidR="00714419">
        <w:rPr>
          <w:rFonts w:ascii="Tahoma" w:hAnsi="Tahoma" w:cs="Tahoma"/>
          <w:b/>
          <w:lang w:eastAsia="ar-SA"/>
        </w:rPr>
        <w:t xml:space="preserve">  decembrie</w:t>
      </w:r>
      <w:r w:rsidRPr="00A33D7D">
        <w:rPr>
          <w:rFonts w:ascii="Tahoma" w:hAnsi="Tahoma" w:cs="Tahoma"/>
          <w:b/>
          <w:lang w:eastAsia="ar-SA"/>
        </w:rPr>
        <w:t xml:space="preserve"> 2016</w:t>
      </w:r>
    </w:p>
    <w:p w:rsidR="00D24F72" w:rsidRPr="00D24F72" w:rsidRDefault="00A919B9" w:rsidP="00D24F72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A919B9">
        <w:rPr>
          <w:rFonts w:ascii="Tahoma" w:hAnsi="Tahoma" w:cs="Tahoma"/>
          <w:b/>
          <w:lang w:eastAsia="ar-SA"/>
        </w:rPr>
        <w:t xml:space="preserve">aprobarea </w:t>
      </w:r>
      <w:r w:rsidR="00D24F72" w:rsidRPr="00D24F72">
        <w:rPr>
          <w:rFonts w:ascii="Tahoma" w:hAnsi="Tahoma" w:cs="Tahoma"/>
          <w:b/>
          <w:lang w:eastAsia="ar-SA"/>
        </w:rPr>
        <w:t>plafonului maxim al obligațiilor fiscale restante</w:t>
      </w:r>
      <w:r w:rsidR="003D7E88">
        <w:rPr>
          <w:rFonts w:ascii="Tahoma" w:hAnsi="Tahoma" w:cs="Tahoma"/>
          <w:b/>
          <w:lang w:eastAsia="ar-SA"/>
        </w:rPr>
        <w:t xml:space="preserve"> până la data de 31 decembrie 2016, al persoanelor fizice și juridice,</w:t>
      </w:r>
      <w:r w:rsidR="00D24F72" w:rsidRPr="00D24F72">
        <w:rPr>
          <w:rFonts w:ascii="Tahoma" w:hAnsi="Tahoma" w:cs="Tahoma"/>
          <w:b/>
          <w:lang w:eastAsia="ar-SA"/>
        </w:rPr>
        <w:t xml:space="preserve"> </w:t>
      </w:r>
    </w:p>
    <w:p w:rsidR="00147A6E" w:rsidRDefault="00D24F72" w:rsidP="00D24F72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D24F72">
        <w:rPr>
          <w:rFonts w:ascii="Tahoma" w:hAnsi="Tahoma" w:cs="Tahoma"/>
          <w:b/>
          <w:lang w:eastAsia="ar-SA"/>
        </w:rPr>
        <w:t>la bugetul local al Municipiului Dej</w:t>
      </w:r>
      <w:r>
        <w:rPr>
          <w:rFonts w:ascii="Tahoma" w:hAnsi="Tahoma" w:cs="Tahoma"/>
          <w:b/>
          <w:lang w:eastAsia="ar-SA"/>
        </w:rPr>
        <w:t xml:space="preserve"> </w:t>
      </w:r>
      <w:r w:rsidRPr="00D24F72">
        <w:rPr>
          <w:rFonts w:ascii="Tahoma" w:hAnsi="Tahoma" w:cs="Tahoma"/>
          <w:b/>
          <w:lang w:eastAsia="ar-SA"/>
        </w:rPr>
        <w:t xml:space="preserve"> în vederea anulării acestora</w:t>
      </w:r>
    </w:p>
    <w:p w:rsidR="00D24F72" w:rsidRPr="00A33D7D" w:rsidRDefault="00D24F72" w:rsidP="00D24F72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</w:t>
      </w:r>
      <w:r w:rsidR="0040676C">
        <w:rPr>
          <w:rFonts w:ascii="Tahoma" w:hAnsi="Tahoma" w:cs="Tahoma"/>
          <w:lang w:eastAsia="ar-SA"/>
        </w:rPr>
        <w:t xml:space="preserve"> 21</w:t>
      </w:r>
      <w:r w:rsidR="007349FB">
        <w:rPr>
          <w:rFonts w:ascii="Tahoma" w:hAnsi="Tahoma" w:cs="Tahoma"/>
          <w:lang w:eastAsia="ar-SA"/>
        </w:rPr>
        <w:t xml:space="preserve"> </w:t>
      </w:r>
      <w:r w:rsidR="00714419">
        <w:rPr>
          <w:rFonts w:ascii="Tahoma" w:hAnsi="Tahoma" w:cs="Tahoma"/>
          <w:lang w:eastAsia="ar-SA"/>
        </w:rPr>
        <w:t xml:space="preserve">decembrie </w:t>
      </w:r>
      <w:r w:rsidRPr="00A33D7D">
        <w:rPr>
          <w:rFonts w:ascii="Tahoma" w:hAnsi="Tahoma" w:cs="Tahoma"/>
          <w:lang w:eastAsia="ar-SA"/>
        </w:rPr>
        <w:t>2016;</w:t>
      </w:r>
    </w:p>
    <w:p w:rsidR="00D24F72" w:rsidRDefault="0002412E" w:rsidP="00D24F72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D24F72" w:rsidRPr="00D24F72">
        <w:rPr>
          <w:rFonts w:ascii="Tahoma" w:hAnsi="Tahoma" w:cs="Tahoma"/>
          <w:bCs/>
          <w:lang w:eastAsia="ar-SA"/>
        </w:rPr>
        <w:t xml:space="preserve">25.167 din </w:t>
      </w:r>
      <w:r w:rsidR="00D24F72">
        <w:rPr>
          <w:rFonts w:ascii="Tahoma" w:hAnsi="Tahoma" w:cs="Tahoma"/>
          <w:bCs/>
          <w:lang w:eastAsia="ar-SA"/>
        </w:rPr>
        <w:t xml:space="preserve">data de 22 noiembrie </w:t>
      </w:r>
      <w:r w:rsidR="00D24F72" w:rsidRPr="00D24F72">
        <w:rPr>
          <w:rFonts w:ascii="Tahoma" w:hAnsi="Tahoma" w:cs="Tahoma"/>
          <w:bCs/>
          <w:lang w:eastAsia="ar-SA"/>
        </w:rPr>
        <w:t>2016</w:t>
      </w:r>
      <w:r w:rsidR="00D24F72">
        <w:rPr>
          <w:rFonts w:ascii="Tahoma" w:hAnsi="Tahoma" w:cs="Tahoma"/>
          <w:bCs/>
          <w:lang w:eastAsia="ar-SA"/>
        </w:rPr>
        <w:t>, al</w:t>
      </w:r>
      <w:r w:rsidR="00D24F72" w:rsidRPr="00D24F72">
        <w:rPr>
          <w:rFonts w:ascii="Tahoma" w:hAnsi="Tahoma" w:cs="Tahoma"/>
          <w:bCs/>
          <w:lang w:eastAsia="ar-SA"/>
        </w:rPr>
        <w:t xml:space="preserve">  Serviciului de impozite și taxe </w:t>
      </w:r>
      <w:r w:rsidR="00D24F72">
        <w:rPr>
          <w:rFonts w:ascii="Tahoma" w:hAnsi="Tahoma" w:cs="Tahoma"/>
          <w:bCs/>
          <w:lang w:eastAsia="ar-SA"/>
        </w:rPr>
        <w:t>din cadrul Primăriei Municipiului Dej, proiect avizat favorabil în ședința de lucru a Comisiei economice din data de   decembrie 2016;</w:t>
      </w:r>
      <w:r w:rsidR="00D24F72" w:rsidRPr="00D24F72">
        <w:rPr>
          <w:rFonts w:ascii="Tahoma" w:hAnsi="Tahoma" w:cs="Tahoma"/>
          <w:bCs/>
          <w:lang w:eastAsia="ar-SA"/>
        </w:rPr>
        <w:t xml:space="preserve"> </w:t>
      </w:r>
    </w:p>
    <w:p w:rsidR="00D24F72" w:rsidRPr="00D24F72" w:rsidRDefault="00D24F72" w:rsidP="00D24F72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Ținând cont de prevederile  Legii N</w:t>
      </w:r>
      <w:r w:rsidRPr="00D24F72">
        <w:rPr>
          <w:rFonts w:ascii="Tahoma" w:hAnsi="Tahoma" w:cs="Tahoma"/>
          <w:bCs/>
          <w:lang w:eastAsia="ar-SA"/>
        </w:rPr>
        <w:t>r.</w:t>
      </w:r>
      <w:r>
        <w:rPr>
          <w:rFonts w:ascii="Tahoma" w:hAnsi="Tahoma" w:cs="Tahoma"/>
          <w:bCs/>
          <w:lang w:eastAsia="ar-SA"/>
        </w:rPr>
        <w:t xml:space="preserve"> </w:t>
      </w:r>
      <w:r w:rsidRPr="00D24F72">
        <w:rPr>
          <w:rFonts w:ascii="Tahoma" w:hAnsi="Tahoma" w:cs="Tahoma"/>
          <w:bCs/>
          <w:lang w:eastAsia="ar-SA"/>
        </w:rPr>
        <w:t xml:space="preserve">207/2015 privind Codul de procedură fiscală cu modificările si completările ulterioare; </w:t>
      </w:r>
    </w:p>
    <w:p w:rsidR="00D24F72" w:rsidRPr="00D24F72" w:rsidRDefault="0040676C" w:rsidP="00D24F72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- Hotărârea Guvernului N</w:t>
      </w:r>
      <w:r w:rsidR="00D24F72" w:rsidRPr="00D24F72">
        <w:rPr>
          <w:rFonts w:ascii="Tahoma" w:hAnsi="Tahoma" w:cs="Tahoma"/>
          <w:bCs/>
          <w:lang w:eastAsia="ar-SA"/>
        </w:rPr>
        <w:t>r.</w:t>
      </w:r>
      <w:r>
        <w:rPr>
          <w:rFonts w:ascii="Tahoma" w:hAnsi="Tahoma" w:cs="Tahoma"/>
          <w:bCs/>
          <w:lang w:eastAsia="ar-SA"/>
        </w:rPr>
        <w:t xml:space="preserve"> </w:t>
      </w:r>
      <w:r w:rsidR="00D24F72" w:rsidRPr="00D24F72">
        <w:rPr>
          <w:rFonts w:ascii="Tahoma" w:hAnsi="Tahoma" w:cs="Tahoma"/>
          <w:bCs/>
          <w:lang w:eastAsia="ar-SA"/>
        </w:rPr>
        <w:t>1/2016 privind normele de aplicare a Codului fiscal;</w:t>
      </w:r>
    </w:p>
    <w:p w:rsidR="00703178" w:rsidRDefault="00D24F72" w:rsidP="00D24F72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D24F72">
        <w:rPr>
          <w:rFonts w:ascii="Tahoma" w:hAnsi="Tahoma" w:cs="Tahoma"/>
          <w:bCs/>
          <w:lang w:eastAsia="ar-SA"/>
        </w:rPr>
        <w:t>- Prevederile art.</w:t>
      </w:r>
      <w:r w:rsidR="0040676C">
        <w:rPr>
          <w:rFonts w:ascii="Tahoma" w:hAnsi="Tahoma" w:cs="Tahoma"/>
          <w:bCs/>
          <w:lang w:eastAsia="ar-SA"/>
        </w:rPr>
        <w:t xml:space="preserve"> </w:t>
      </w:r>
      <w:r w:rsidRPr="00D24F72">
        <w:rPr>
          <w:rFonts w:ascii="Tahoma" w:hAnsi="Tahoma" w:cs="Tahoma"/>
          <w:bCs/>
          <w:lang w:eastAsia="ar-SA"/>
        </w:rPr>
        <w:t>36</w:t>
      </w:r>
      <w:r w:rsidR="0040676C">
        <w:rPr>
          <w:rFonts w:ascii="Tahoma" w:hAnsi="Tahoma" w:cs="Tahoma"/>
          <w:bCs/>
          <w:lang w:eastAsia="ar-SA"/>
        </w:rPr>
        <w:t xml:space="preserve">, </w:t>
      </w:r>
      <w:r w:rsidRPr="00D24F72">
        <w:rPr>
          <w:rFonts w:ascii="Tahoma" w:hAnsi="Tahoma" w:cs="Tahoma"/>
          <w:bCs/>
          <w:lang w:eastAsia="ar-SA"/>
        </w:rPr>
        <w:t xml:space="preserve"> alin.</w:t>
      </w:r>
      <w:r w:rsidR="0040676C">
        <w:rPr>
          <w:rFonts w:ascii="Tahoma" w:hAnsi="Tahoma" w:cs="Tahoma"/>
          <w:bCs/>
          <w:lang w:eastAsia="ar-SA"/>
        </w:rPr>
        <w:t xml:space="preserve"> (</w:t>
      </w:r>
      <w:r w:rsidRPr="00D24F72">
        <w:rPr>
          <w:rFonts w:ascii="Tahoma" w:hAnsi="Tahoma" w:cs="Tahoma"/>
          <w:bCs/>
          <w:lang w:eastAsia="ar-SA"/>
        </w:rPr>
        <w:t>2</w:t>
      </w:r>
      <w:r w:rsidR="0040676C">
        <w:rPr>
          <w:rFonts w:ascii="Tahoma" w:hAnsi="Tahoma" w:cs="Tahoma"/>
          <w:bCs/>
          <w:lang w:eastAsia="ar-SA"/>
        </w:rPr>
        <w:t>)</w:t>
      </w:r>
      <w:r w:rsidRPr="00D24F72">
        <w:rPr>
          <w:rFonts w:ascii="Tahoma" w:hAnsi="Tahoma" w:cs="Tahoma"/>
          <w:bCs/>
          <w:lang w:eastAsia="ar-SA"/>
        </w:rPr>
        <w:t>, lit. b</w:t>
      </w:r>
      <w:r w:rsidR="0040676C">
        <w:rPr>
          <w:rFonts w:ascii="Tahoma" w:hAnsi="Tahoma" w:cs="Tahoma"/>
          <w:bCs/>
          <w:lang w:eastAsia="ar-SA"/>
        </w:rPr>
        <w:t>)</w:t>
      </w:r>
      <w:r w:rsidRPr="00D24F72">
        <w:rPr>
          <w:rFonts w:ascii="Tahoma" w:hAnsi="Tahoma" w:cs="Tahoma"/>
          <w:bCs/>
          <w:lang w:eastAsia="ar-SA"/>
        </w:rPr>
        <w:t>; alin.</w:t>
      </w:r>
      <w:r w:rsidR="0040676C">
        <w:rPr>
          <w:rFonts w:ascii="Tahoma" w:hAnsi="Tahoma" w:cs="Tahoma"/>
          <w:bCs/>
          <w:lang w:eastAsia="ar-SA"/>
        </w:rPr>
        <w:t xml:space="preserve"> (</w:t>
      </w:r>
      <w:r w:rsidRPr="00D24F72">
        <w:rPr>
          <w:rFonts w:ascii="Tahoma" w:hAnsi="Tahoma" w:cs="Tahoma"/>
          <w:bCs/>
          <w:lang w:eastAsia="ar-SA"/>
        </w:rPr>
        <w:t>4</w:t>
      </w:r>
      <w:r w:rsidR="0040676C">
        <w:rPr>
          <w:rFonts w:ascii="Tahoma" w:hAnsi="Tahoma" w:cs="Tahoma"/>
          <w:bCs/>
          <w:lang w:eastAsia="ar-SA"/>
        </w:rPr>
        <w:t>), lit. c)</w:t>
      </w:r>
      <w:r w:rsidRPr="00D24F72">
        <w:rPr>
          <w:rFonts w:ascii="Tahoma" w:hAnsi="Tahoma" w:cs="Tahoma"/>
          <w:bCs/>
          <w:lang w:eastAsia="ar-SA"/>
        </w:rPr>
        <w:t xml:space="preserve"> și art. 45</w:t>
      </w:r>
      <w:r w:rsidR="0040676C">
        <w:rPr>
          <w:rFonts w:ascii="Tahoma" w:hAnsi="Tahoma" w:cs="Tahoma"/>
          <w:bCs/>
          <w:lang w:eastAsia="ar-SA"/>
        </w:rPr>
        <w:t>,</w:t>
      </w:r>
      <w:r w:rsidRPr="00D24F72">
        <w:rPr>
          <w:rFonts w:ascii="Tahoma" w:hAnsi="Tahoma" w:cs="Tahoma"/>
          <w:bCs/>
          <w:lang w:eastAsia="ar-SA"/>
        </w:rPr>
        <w:t xml:space="preserve"> alin. </w:t>
      </w:r>
      <w:r w:rsidR="0040676C">
        <w:rPr>
          <w:rFonts w:ascii="Tahoma" w:hAnsi="Tahoma" w:cs="Tahoma"/>
          <w:bCs/>
          <w:lang w:eastAsia="ar-SA"/>
        </w:rPr>
        <w:t>(</w:t>
      </w:r>
      <w:r w:rsidRPr="00D24F72">
        <w:rPr>
          <w:rFonts w:ascii="Tahoma" w:hAnsi="Tahoma" w:cs="Tahoma"/>
          <w:bCs/>
          <w:lang w:eastAsia="ar-SA"/>
        </w:rPr>
        <w:t>2</w:t>
      </w:r>
      <w:r w:rsidR="0040676C">
        <w:rPr>
          <w:rFonts w:ascii="Tahoma" w:hAnsi="Tahoma" w:cs="Tahoma"/>
          <w:bCs/>
          <w:lang w:eastAsia="ar-SA"/>
        </w:rPr>
        <w:t>), lit. c), precum ș</w:t>
      </w:r>
      <w:r w:rsidRPr="00D24F72">
        <w:rPr>
          <w:rFonts w:ascii="Tahoma" w:hAnsi="Tahoma" w:cs="Tahoma"/>
          <w:bCs/>
          <w:lang w:eastAsia="ar-SA"/>
        </w:rPr>
        <w:t>i ale art.</w:t>
      </w:r>
      <w:r w:rsidR="0040676C">
        <w:rPr>
          <w:rFonts w:ascii="Tahoma" w:hAnsi="Tahoma" w:cs="Tahoma"/>
          <w:bCs/>
          <w:lang w:eastAsia="ar-SA"/>
        </w:rPr>
        <w:t xml:space="preserve"> </w:t>
      </w:r>
      <w:r w:rsidRPr="00D24F72">
        <w:rPr>
          <w:rFonts w:ascii="Tahoma" w:hAnsi="Tahoma" w:cs="Tahoma"/>
          <w:bCs/>
          <w:lang w:eastAsia="ar-SA"/>
        </w:rPr>
        <w:t>115</w:t>
      </w:r>
      <w:r w:rsidR="0040676C">
        <w:rPr>
          <w:rFonts w:ascii="Tahoma" w:hAnsi="Tahoma" w:cs="Tahoma"/>
          <w:bCs/>
          <w:lang w:eastAsia="ar-SA"/>
        </w:rPr>
        <w:t>,</w:t>
      </w:r>
      <w:r w:rsidRPr="00D24F72">
        <w:rPr>
          <w:rFonts w:ascii="Tahoma" w:hAnsi="Tahoma" w:cs="Tahoma"/>
          <w:bCs/>
          <w:lang w:eastAsia="ar-SA"/>
        </w:rPr>
        <w:t xml:space="preserve"> lit. b</w:t>
      </w:r>
      <w:r w:rsidR="0040676C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A948CC" w:rsidRDefault="00165A11" w:rsidP="00A948CC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A948CC" w:rsidRPr="00A948CC">
        <w:rPr>
          <w:rFonts w:ascii="Tahoma" w:hAnsi="Tahoma" w:cs="Tahoma"/>
        </w:rPr>
        <w:t xml:space="preserve">plafonul </w:t>
      </w:r>
      <w:r w:rsidR="003D7E88">
        <w:rPr>
          <w:rFonts w:ascii="Tahoma" w:hAnsi="Tahoma" w:cs="Tahoma"/>
        </w:rPr>
        <w:t xml:space="preserve">maxim </w:t>
      </w:r>
      <w:r w:rsidR="00A948CC" w:rsidRPr="00A948CC">
        <w:rPr>
          <w:rFonts w:ascii="Tahoma" w:hAnsi="Tahoma" w:cs="Tahoma"/>
        </w:rPr>
        <w:t xml:space="preserve"> al obligațiilor fiscale restante</w:t>
      </w:r>
      <w:r w:rsidR="003D7E88">
        <w:rPr>
          <w:rFonts w:ascii="Tahoma" w:hAnsi="Tahoma" w:cs="Tahoma"/>
        </w:rPr>
        <w:t xml:space="preserve"> până la data de 31 decembrie 2016, al persoanelor fizice și juridice,</w:t>
      </w:r>
      <w:r w:rsidR="00A948CC" w:rsidRPr="00A948CC">
        <w:rPr>
          <w:rFonts w:ascii="Tahoma" w:hAnsi="Tahoma" w:cs="Tahoma"/>
        </w:rPr>
        <w:t xml:space="preserve"> la bugetul local, în cuantum de </w:t>
      </w:r>
      <w:r w:rsidR="003D7E88">
        <w:rPr>
          <w:rFonts w:ascii="Tahoma" w:hAnsi="Tahoma" w:cs="Tahoma"/>
        </w:rPr>
        <w:t>40</w:t>
      </w:r>
      <w:r w:rsidR="00A948CC" w:rsidRPr="00A948CC">
        <w:rPr>
          <w:rFonts w:ascii="Tahoma" w:hAnsi="Tahoma" w:cs="Tahoma"/>
        </w:rPr>
        <w:t xml:space="preserve"> lei, </w:t>
      </w:r>
      <w:r w:rsidR="003D7E88">
        <w:rPr>
          <w:rFonts w:ascii="Tahoma" w:hAnsi="Tahoma" w:cs="Tahoma"/>
        </w:rPr>
        <w:t xml:space="preserve">până la care se întocmește lista debitorilor în vederea anulării acestora, </w:t>
      </w:r>
      <w:r w:rsidR="00A948CC" w:rsidRPr="00A948CC">
        <w:rPr>
          <w:rFonts w:ascii="Tahoma" w:hAnsi="Tahoma" w:cs="Tahoma"/>
        </w:rPr>
        <w:t>conform L</w:t>
      </w:r>
      <w:r w:rsidR="00A948CC">
        <w:rPr>
          <w:rFonts w:ascii="Tahoma" w:hAnsi="Tahoma" w:cs="Tahoma"/>
        </w:rPr>
        <w:t xml:space="preserve">egii Nr. </w:t>
      </w:r>
      <w:r w:rsidR="00A948CC" w:rsidRPr="00A948CC">
        <w:rPr>
          <w:rFonts w:ascii="Tahoma" w:hAnsi="Tahoma" w:cs="Tahoma"/>
        </w:rPr>
        <w:t>207/2015, art.</w:t>
      </w:r>
      <w:r w:rsidR="00A948CC">
        <w:rPr>
          <w:rFonts w:ascii="Tahoma" w:hAnsi="Tahoma" w:cs="Tahoma"/>
        </w:rPr>
        <w:t xml:space="preserve"> </w:t>
      </w:r>
      <w:r w:rsidR="00A948CC" w:rsidRPr="00A948CC">
        <w:rPr>
          <w:rFonts w:ascii="Tahoma" w:hAnsi="Tahoma" w:cs="Tahoma"/>
        </w:rPr>
        <w:t>162, al</w:t>
      </w:r>
      <w:r w:rsidR="00A948CC">
        <w:rPr>
          <w:rFonts w:ascii="Tahoma" w:hAnsi="Tahoma" w:cs="Tahoma"/>
        </w:rPr>
        <w:t>in</w:t>
      </w:r>
      <w:r w:rsidR="00A948CC" w:rsidRPr="00A948CC">
        <w:rPr>
          <w:rFonts w:ascii="Tahoma" w:hAnsi="Tahoma" w:cs="Tahoma"/>
        </w:rPr>
        <w:t>.</w:t>
      </w:r>
      <w:r w:rsidR="00A948CC">
        <w:rPr>
          <w:rFonts w:ascii="Tahoma" w:hAnsi="Tahoma" w:cs="Tahoma"/>
        </w:rPr>
        <w:t xml:space="preserve"> </w:t>
      </w:r>
      <w:r w:rsidR="0040676C">
        <w:rPr>
          <w:rFonts w:ascii="Tahoma" w:hAnsi="Tahoma" w:cs="Tahoma"/>
        </w:rPr>
        <w:t>(</w:t>
      </w:r>
      <w:r w:rsidR="00A948CC" w:rsidRPr="00A948CC">
        <w:rPr>
          <w:rFonts w:ascii="Tahoma" w:hAnsi="Tahoma" w:cs="Tahoma"/>
        </w:rPr>
        <w:t>1</w:t>
      </w:r>
      <w:r w:rsidR="0040676C">
        <w:rPr>
          <w:rFonts w:ascii="Tahoma" w:hAnsi="Tahoma" w:cs="Tahoma"/>
        </w:rPr>
        <w:t>)</w:t>
      </w:r>
      <w:r w:rsidR="00A948CC" w:rsidRPr="00A948CC">
        <w:rPr>
          <w:rFonts w:ascii="Tahoma" w:hAnsi="Tahoma" w:cs="Tahoma"/>
        </w:rPr>
        <w:t xml:space="preserve"> și </w:t>
      </w:r>
      <w:r w:rsidR="0040676C">
        <w:rPr>
          <w:rFonts w:ascii="Tahoma" w:hAnsi="Tahoma" w:cs="Tahoma"/>
        </w:rPr>
        <w:t>(</w:t>
      </w:r>
      <w:r w:rsidR="00A948CC" w:rsidRPr="00A948CC">
        <w:rPr>
          <w:rFonts w:ascii="Tahoma" w:hAnsi="Tahoma" w:cs="Tahoma"/>
        </w:rPr>
        <w:t>2</w:t>
      </w:r>
      <w:r w:rsidR="0040676C">
        <w:rPr>
          <w:rFonts w:ascii="Tahoma" w:hAnsi="Tahoma" w:cs="Tahoma"/>
        </w:rPr>
        <w:t>)</w:t>
      </w:r>
      <w:r w:rsidR="00A948CC" w:rsidRPr="00A948CC">
        <w:rPr>
          <w:rFonts w:ascii="Tahoma" w:hAnsi="Tahoma" w:cs="Tahoma"/>
        </w:rPr>
        <w:t>, lit. b</w:t>
      </w:r>
      <w:r w:rsidR="0040676C">
        <w:rPr>
          <w:rFonts w:ascii="Tahoma" w:hAnsi="Tahoma" w:cs="Tahoma"/>
        </w:rPr>
        <w:t>)</w:t>
      </w:r>
      <w:r w:rsidR="00A948CC" w:rsidRPr="00A948CC">
        <w:rPr>
          <w:rFonts w:ascii="Tahoma" w:hAnsi="Tahoma" w:cs="Tahoma"/>
        </w:rPr>
        <w:t>.</w:t>
      </w:r>
    </w:p>
    <w:p w:rsidR="000F04A1" w:rsidRDefault="00A948CC" w:rsidP="00A948CC">
      <w:pPr>
        <w:ind w:firstLine="720"/>
        <w:jc w:val="both"/>
        <w:rPr>
          <w:rFonts w:ascii="Tahoma" w:hAnsi="Tahoma" w:cs="Tahoma"/>
        </w:rPr>
      </w:pPr>
      <w:r w:rsidRPr="00A948CC">
        <w:rPr>
          <w:rFonts w:ascii="Tahoma" w:hAnsi="Tahoma" w:cs="Tahoma"/>
        </w:rPr>
        <w:t xml:space="preserve"> </w:t>
      </w:r>
      <w:r w:rsidRPr="00A948CC">
        <w:rPr>
          <w:rFonts w:ascii="Tahoma" w:hAnsi="Tahoma" w:cs="Tahoma"/>
          <w:b/>
          <w:u w:val="single"/>
        </w:rPr>
        <w:t>Art. 2</w:t>
      </w:r>
      <w:r>
        <w:rPr>
          <w:rFonts w:ascii="Tahoma" w:hAnsi="Tahoma" w:cs="Tahoma"/>
        </w:rPr>
        <w:t xml:space="preserve">. </w:t>
      </w:r>
      <w:r w:rsidRPr="00A948CC">
        <w:rPr>
          <w:rFonts w:ascii="Tahoma" w:hAnsi="Tahoma" w:cs="Tahoma"/>
        </w:rPr>
        <w:t>Cu ducerea la îndeplinirea a prevederilor prezentei hotărâri se în</w:t>
      </w:r>
      <w:r>
        <w:rPr>
          <w:rFonts w:ascii="Tahoma" w:hAnsi="Tahoma" w:cs="Tahoma"/>
        </w:rPr>
        <w:t>credinţează Serviciul Impozite ș</w:t>
      </w:r>
      <w:r w:rsidRPr="00A948CC">
        <w:rPr>
          <w:rFonts w:ascii="Tahoma" w:hAnsi="Tahoma" w:cs="Tahoma"/>
        </w:rPr>
        <w:t>i taxe din cadrul Primăriei Municipiului Dej.</w:t>
      </w:r>
    </w:p>
    <w:p w:rsidR="000F04A1" w:rsidRDefault="000F04A1" w:rsidP="000F04A1">
      <w:pPr>
        <w:ind w:firstLine="720"/>
        <w:jc w:val="both"/>
        <w:rPr>
          <w:rFonts w:ascii="Tahoma" w:hAnsi="Tahoma" w:cs="Tahoma"/>
        </w:rPr>
      </w:pPr>
    </w:p>
    <w:p w:rsidR="000F04A1" w:rsidRDefault="000F04A1" w:rsidP="000F04A1">
      <w:pPr>
        <w:ind w:firstLine="720"/>
        <w:jc w:val="both"/>
        <w:rPr>
          <w:rFonts w:ascii="Tahoma" w:hAnsi="Tahoma" w:cs="Tahoma"/>
        </w:rPr>
      </w:pP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Kovrig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Pr="00A33D7D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</w:t>
      </w:r>
      <w:r w:rsidR="003D7E88">
        <w:rPr>
          <w:rFonts w:ascii="Tahoma" w:hAnsi="Tahoma" w:cs="Tahoma"/>
          <w:b/>
          <w:sz w:val="20"/>
          <w:szCs w:val="20"/>
        </w:rPr>
        <w:t xml:space="preserve"> 16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3D7E88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AF" w:rsidRDefault="00B331AF" w:rsidP="00857553">
      <w:r>
        <w:separator/>
      </w:r>
    </w:p>
  </w:endnote>
  <w:endnote w:type="continuationSeparator" w:id="0">
    <w:p w:rsidR="00B331AF" w:rsidRDefault="00B331AF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AF" w:rsidRDefault="00B331AF" w:rsidP="00857553">
      <w:r>
        <w:separator/>
      </w:r>
    </w:p>
  </w:footnote>
  <w:footnote w:type="continuationSeparator" w:id="0">
    <w:p w:rsidR="00B331AF" w:rsidRDefault="00B331AF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0F04A1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9070A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21B5E"/>
    <w:rsid w:val="00222BEF"/>
    <w:rsid w:val="00246AD0"/>
    <w:rsid w:val="00260DC2"/>
    <w:rsid w:val="00282D5C"/>
    <w:rsid w:val="002915C9"/>
    <w:rsid w:val="00293E6A"/>
    <w:rsid w:val="002A2904"/>
    <w:rsid w:val="002A5A4C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D0A28"/>
    <w:rsid w:val="003D2389"/>
    <w:rsid w:val="003D46DF"/>
    <w:rsid w:val="003D5646"/>
    <w:rsid w:val="003D7D57"/>
    <w:rsid w:val="003D7E88"/>
    <w:rsid w:val="003E557C"/>
    <w:rsid w:val="004002F8"/>
    <w:rsid w:val="0040676C"/>
    <w:rsid w:val="004175A2"/>
    <w:rsid w:val="00427DD1"/>
    <w:rsid w:val="00443328"/>
    <w:rsid w:val="00447186"/>
    <w:rsid w:val="0045375C"/>
    <w:rsid w:val="00453D8F"/>
    <w:rsid w:val="00476A49"/>
    <w:rsid w:val="004844C9"/>
    <w:rsid w:val="004A7DA6"/>
    <w:rsid w:val="004C3400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E552B"/>
    <w:rsid w:val="005F2A4C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14419"/>
    <w:rsid w:val="00727E56"/>
    <w:rsid w:val="007349FB"/>
    <w:rsid w:val="00737DFF"/>
    <w:rsid w:val="00746779"/>
    <w:rsid w:val="0075495C"/>
    <w:rsid w:val="007572FA"/>
    <w:rsid w:val="0076455F"/>
    <w:rsid w:val="007661A2"/>
    <w:rsid w:val="007711AE"/>
    <w:rsid w:val="00780674"/>
    <w:rsid w:val="007862B1"/>
    <w:rsid w:val="00786912"/>
    <w:rsid w:val="007A3262"/>
    <w:rsid w:val="007B4D5D"/>
    <w:rsid w:val="007B4D71"/>
    <w:rsid w:val="007B7701"/>
    <w:rsid w:val="007D2BB4"/>
    <w:rsid w:val="007D452E"/>
    <w:rsid w:val="007E0267"/>
    <w:rsid w:val="007E59E4"/>
    <w:rsid w:val="007F6F2B"/>
    <w:rsid w:val="00802D50"/>
    <w:rsid w:val="00827363"/>
    <w:rsid w:val="00831D29"/>
    <w:rsid w:val="00836855"/>
    <w:rsid w:val="0084504F"/>
    <w:rsid w:val="00845830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1352B"/>
    <w:rsid w:val="00B1444B"/>
    <w:rsid w:val="00B1712B"/>
    <w:rsid w:val="00B331AF"/>
    <w:rsid w:val="00B41B25"/>
    <w:rsid w:val="00B80DA1"/>
    <w:rsid w:val="00B82A49"/>
    <w:rsid w:val="00B84A6F"/>
    <w:rsid w:val="00B874B0"/>
    <w:rsid w:val="00BC160A"/>
    <w:rsid w:val="00BC4EAA"/>
    <w:rsid w:val="00BD2BA6"/>
    <w:rsid w:val="00BF2C06"/>
    <w:rsid w:val="00C40B24"/>
    <w:rsid w:val="00C43287"/>
    <w:rsid w:val="00C545B8"/>
    <w:rsid w:val="00C54A0F"/>
    <w:rsid w:val="00C72F91"/>
    <w:rsid w:val="00C77F64"/>
    <w:rsid w:val="00CC55E6"/>
    <w:rsid w:val="00CD524F"/>
    <w:rsid w:val="00CE408E"/>
    <w:rsid w:val="00D00E36"/>
    <w:rsid w:val="00D01750"/>
    <w:rsid w:val="00D119AB"/>
    <w:rsid w:val="00D168C1"/>
    <w:rsid w:val="00D20913"/>
    <w:rsid w:val="00D24DB7"/>
    <w:rsid w:val="00D24F72"/>
    <w:rsid w:val="00D33D22"/>
    <w:rsid w:val="00D53ABF"/>
    <w:rsid w:val="00D54678"/>
    <w:rsid w:val="00D56CF8"/>
    <w:rsid w:val="00D6150C"/>
    <w:rsid w:val="00DA3F28"/>
    <w:rsid w:val="00DD70C8"/>
    <w:rsid w:val="00DE0D8D"/>
    <w:rsid w:val="00E07A13"/>
    <w:rsid w:val="00E07A76"/>
    <w:rsid w:val="00E371CD"/>
    <w:rsid w:val="00E41612"/>
    <w:rsid w:val="00E45E1F"/>
    <w:rsid w:val="00E67183"/>
    <w:rsid w:val="00E74C7A"/>
    <w:rsid w:val="00E836D4"/>
    <w:rsid w:val="00E932E9"/>
    <w:rsid w:val="00EA2CD6"/>
    <w:rsid w:val="00EB3347"/>
    <w:rsid w:val="00EB448C"/>
    <w:rsid w:val="00EF5330"/>
    <w:rsid w:val="00F11C9F"/>
    <w:rsid w:val="00F14069"/>
    <w:rsid w:val="00F148F2"/>
    <w:rsid w:val="00F30207"/>
    <w:rsid w:val="00F97DE0"/>
    <w:rsid w:val="00FA6506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2016-12-20T22:00:00+00:00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169</Număr_x0020_HCL>
    <_dlc_DocId xmlns="49ad8bbe-11e1-42b2-a965-6a341b5f7ad4">PMD16-83-2419</_dlc_DocId>
    <_dlc_DocIdUrl xmlns="49ad8bbe-11e1-42b2-a965-6a341b5f7ad4">
      <Url>http://smdoc/Situri/CL/_layouts/15/DocIdRedir.aspx?ID=PMD16-83-2419</Url>
      <Description>PMD16-83-2419</Description>
    </_dlc_DocIdUrl>
    <_dlc_ExpireDateSaved xmlns="http://schemas.microsoft.com/sharepoint/v3" xsi:nil="true"/>
    <_dlc_ExpireDate xmlns="http://schemas.microsoft.com/sharepoint/v3">2017-01-20T22:00:00+00:00</_dlc_ExpireDate>
  </documentManagement>
</p:properties>
</file>

<file path=customXml/itemProps1.xml><?xml version="1.0" encoding="utf-8"?>
<ds:datastoreItem xmlns:ds="http://schemas.openxmlformats.org/officeDocument/2006/customXml" ds:itemID="{DA67DCFE-BAF1-4D45-B8B9-07D8E6D97179}"/>
</file>

<file path=customXml/itemProps2.xml><?xml version="1.0" encoding="utf-8"?>
<ds:datastoreItem xmlns:ds="http://schemas.openxmlformats.org/officeDocument/2006/customXml" ds:itemID="{DB72C69B-0D88-4758-BB5B-80AE7A904C9E}"/>
</file>

<file path=customXml/itemProps3.xml><?xml version="1.0" encoding="utf-8"?>
<ds:datastoreItem xmlns:ds="http://schemas.openxmlformats.org/officeDocument/2006/customXml" ds:itemID="{51B58405-1F54-42E2-AC2B-189883F668C8}"/>
</file>

<file path=customXml/itemProps4.xml><?xml version="1.0" encoding="utf-8"?>
<ds:datastoreItem xmlns:ds="http://schemas.openxmlformats.org/officeDocument/2006/customXml" ds:itemID="{50E99684-1B20-42AB-A4C3-773C94EF687F}"/>
</file>

<file path=customXml/itemProps5.xml><?xml version="1.0" encoding="utf-8"?>
<ds:datastoreItem xmlns:ds="http://schemas.openxmlformats.org/officeDocument/2006/customXml" ds:itemID="{3A6CF76E-203D-49C5-BBAB-12981B56AE62}"/>
</file>

<file path=customXml/itemProps6.xml><?xml version="1.0" encoding="utf-8"?>
<ds:datastoreItem xmlns:ds="http://schemas.openxmlformats.org/officeDocument/2006/customXml" ds:itemID="{4D63B24B-C575-4711-A66E-438F44654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2062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plafon minim creante</dc:subject>
  <dc:creator>Elena Mereuță</dc:creator>
  <dc:description/>
  <cp:lastModifiedBy>Elena Mereuță</cp:lastModifiedBy>
  <cp:revision>2</cp:revision>
  <cp:lastPrinted>2016-08-16T08:33:00Z</cp:lastPrinted>
  <dcterms:created xsi:type="dcterms:W3CDTF">2016-12-28T12:39:00Z</dcterms:created>
  <dcterms:modified xsi:type="dcterms:W3CDTF">2016-12-28T12:39:00Z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1dc2c140-4e50-4193-81f1-39802b61ff4f</vt:lpwstr>
  </property>
</Properties>
</file>