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59D1">
        <w:rPr>
          <w:rFonts w:ascii="Tahoma" w:hAnsi="Tahoma" w:cs="Tahoma"/>
          <w:b/>
          <w:u w:val="single"/>
          <w:lang w:eastAsia="ar-SA"/>
        </w:rPr>
        <w:t>5</w:t>
      </w:r>
      <w:r w:rsidR="00E80AAB">
        <w:rPr>
          <w:rFonts w:ascii="Tahoma" w:hAnsi="Tahoma" w:cs="Tahoma"/>
          <w:b/>
          <w:u w:val="single"/>
          <w:lang w:eastAsia="ar-SA"/>
        </w:rPr>
        <w:t>7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E80AAB" w:rsidRDefault="00F306DD" w:rsidP="00E80AA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E80AAB">
        <w:rPr>
          <w:rFonts w:ascii="Tahoma" w:hAnsi="Tahoma" w:cs="Tahoma"/>
          <w:b/>
          <w:lang w:eastAsia="ar-SA"/>
        </w:rPr>
        <w:t>aprobarea</w:t>
      </w:r>
      <w:r w:rsidR="002566BA" w:rsidRPr="00E80AAB">
        <w:rPr>
          <w:rFonts w:ascii="Tahoma" w:hAnsi="Tahoma" w:cs="Tahoma"/>
          <w:b/>
        </w:rPr>
        <w:t xml:space="preserve"> </w:t>
      </w:r>
      <w:r w:rsidR="00E80AAB" w:rsidRPr="00E80AAB">
        <w:rPr>
          <w:rFonts w:ascii="Tahoma" w:hAnsi="Tahoma" w:cs="Tahoma"/>
          <w:b/>
        </w:rPr>
        <w:t>rectificării suprafeț</w:t>
      </w:r>
      <w:r w:rsidR="00E80AAB">
        <w:rPr>
          <w:rFonts w:ascii="Tahoma" w:hAnsi="Tahoma" w:cs="Tahoma"/>
          <w:b/>
        </w:rPr>
        <w:t>ei imobilului înscris</w:t>
      </w:r>
    </w:p>
    <w:p w:rsidR="006F250A" w:rsidRPr="00E80AAB" w:rsidRDefault="00E80AAB" w:rsidP="00E80AA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în C. F. N</w:t>
      </w:r>
      <w:r w:rsidRPr="00E80AAB">
        <w:rPr>
          <w:rFonts w:ascii="Tahoma" w:hAnsi="Tahoma" w:cs="Tahoma"/>
          <w:b/>
        </w:rPr>
        <w:t>r. 51119</w:t>
      </w:r>
      <w:r w:rsidR="00390973" w:rsidRPr="00E80AAB">
        <w:rPr>
          <w:rFonts w:ascii="Tahoma" w:hAnsi="Tahoma" w:cs="Tahoma"/>
          <w:b/>
        </w:rPr>
        <w:t xml:space="preserve"> </w:t>
      </w:r>
    </w:p>
    <w:p w:rsidR="006F250A" w:rsidRPr="006F250A" w:rsidRDefault="006F250A" w:rsidP="006F250A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E80AAB" w:rsidRDefault="0002412E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E80AAB" w:rsidRPr="00E80AAB">
        <w:rPr>
          <w:rFonts w:ascii="Tahoma" w:hAnsi="Tahoma" w:cs="Tahoma"/>
          <w:bCs/>
          <w:lang w:eastAsia="ar-SA"/>
        </w:rPr>
        <w:t>8</w:t>
      </w:r>
      <w:r w:rsidR="00E80AAB">
        <w:rPr>
          <w:rFonts w:ascii="Tahoma" w:hAnsi="Tahoma" w:cs="Tahoma"/>
          <w:bCs/>
          <w:lang w:eastAsia="ar-SA"/>
        </w:rPr>
        <w:t xml:space="preserve">.524 din data de </w:t>
      </w:r>
      <w:r w:rsidR="00E80AAB" w:rsidRPr="00E80AAB">
        <w:rPr>
          <w:rFonts w:ascii="Tahoma" w:hAnsi="Tahoma" w:cs="Tahoma"/>
          <w:bCs/>
          <w:lang w:eastAsia="ar-SA"/>
        </w:rPr>
        <w:t>20</w:t>
      </w:r>
      <w:r w:rsidR="00E80AAB">
        <w:rPr>
          <w:rFonts w:ascii="Tahoma" w:hAnsi="Tahoma" w:cs="Tahoma"/>
          <w:bCs/>
          <w:lang w:eastAsia="ar-SA"/>
        </w:rPr>
        <w:t xml:space="preserve"> aprilie </w:t>
      </w:r>
      <w:r w:rsidR="00E80AAB" w:rsidRPr="00E80AAB">
        <w:rPr>
          <w:rFonts w:ascii="Tahoma" w:hAnsi="Tahoma" w:cs="Tahoma"/>
          <w:bCs/>
          <w:lang w:eastAsia="ar-SA"/>
        </w:rPr>
        <w:t xml:space="preserve">2017, </w:t>
      </w:r>
      <w:r w:rsidR="00E80AAB">
        <w:rPr>
          <w:rFonts w:ascii="Tahoma" w:hAnsi="Tahoma" w:cs="Tahoma"/>
          <w:bCs/>
          <w:lang w:eastAsia="ar-SA"/>
        </w:rPr>
        <w:t xml:space="preserve">al </w:t>
      </w:r>
      <w:r w:rsidR="00E80AAB" w:rsidRPr="00E80AAB">
        <w:rPr>
          <w:rFonts w:ascii="Tahoma" w:hAnsi="Tahoma" w:cs="Tahoma"/>
          <w:bCs/>
          <w:lang w:eastAsia="ar-SA"/>
        </w:rPr>
        <w:t>Serviciului de Urbanism</w:t>
      </w:r>
      <w:r w:rsidR="00E80AAB">
        <w:rPr>
          <w:rFonts w:ascii="Tahoma" w:hAnsi="Tahoma" w:cs="Tahoma"/>
          <w:bCs/>
          <w:lang w:eastAsia="ar-SA"/>
        </w:rPr>
        <w:t xml:space="preserve"> și Amenajarea Teritoriului din cadrul Primăriei Municipiului Dej, </w:t>
      </w:r>
      <w:r w:rsidR="00E80AAB" w:rsidRPr="00E80AAB">
        <w:rPr>
          <w:rFonts w:ascii="Tahoma" w:hAnsi="Tahoma" w:cs="Tahoma"/>
          <w:bCs/>
          <w:lang w:eastAsia="ar-SA"/>
        </w:rPr>
        <w:t>prin care se  propune  spre aprobare  rectificarea suprafe</w:t>
      </w:r>
      <w:r w:rsidR="00E80AAB">
        <w:rPr>
          <w:rFonts w:ascii="Tahoma" w:hAnsi="Tahoma" w:cs="Tahoma"/>
          <w:bCs/>
          <w:lang w:eastAsia="ar-SA"/>
        </w:rPr>
        <w:t>ței imobilului înscris în C.F. Nr. 51119 cu N</w:t>
      </w:r>
      <w:r w:rsidR="00E80AAB" w:rsidRPr="00E80AAB">
        <w:rPr>
          <w:rFonts w:ascii="Tahoma" w:hAnsi="Tahoma" w:cs="Tahoma"/>
          <w:bCs/>
          <w:lang w:eastAsia="ar-SA"/>
        </w:rPr>
        <w:t>r. topografic 95/1/1/1, (</w:t>
      </w:r>
      <w:r w:rsidR="00E80AAB" w:rsidRPr="00E80AAB">
        <w:rPr>
          <w:rFonts w:ascii="Tahoma" w:hAnsi="Tahoma" w:cs="Tahoma"/>
          <w:b/>
          <w:bCs/>
          <w:lang w:eastAsia="ar-SA"/>
        </w:rPr>
        <w:t xml:space="preserve">Grădiniță </w:t>
      </w:r>
      <w:r w:rsidR="00E80AAB">
        <w:rPr>
          <w:rFonts w:ascii="Tahoma" w:hAnsi="Tahoma" w:cs="Tahoma"/>
          <w:b/>
          <w:bCs/>
          <w:lang w:eastAsia="ar-SA"/>
        </w:rPr>
        <w:t>”</w:t>
      </w:r>
      <w:r w:rsidR="00E80AAB" w:rsidRPr="00E80AAB">
        <w:rPr>
          <w:rFonts w:ascii="Tahoma" w:hAnsi="Tahoma" w:cs="Tahoma"/>
          <w:b/>
          <w:bCs/>
          <w:lang w:eastAsia="ar-SA"/>
        </w:rPr>
        <w:t>Arlechino</w:t>
      </w:r>
      <w:r w:rsidR="00E80AAB">
        <w:rPr>
          <w:rFonts w:ascii="Tahoma" w:hAnsi="Tahoma" w:cs="Tahoma"/>
          <w:b/>
          <w:bCs/>
          <w:lang w:eastAsia="ar-SA"/>
        </w:rPr>
        <w:t>”</w:t>
      </w:r>
      <w:r w:rsidR="00E80AAB" w:rsidRPr="00E80AAB">
        <w:rPr>
          <w:rFonts w:ascii="Tahoma" w:hAnsi="Tahoma" w:cs="Tahoma"/>
          <w:bCs/>
          <w:lang w:eastAsia="ar-SA"/>
        </w:rPr>
        <w:t xml:space="preserve">, </w:t>
      </w:r>
      <w:r w:rsidR="00E80AAB">
        <w:rPr>
          <w:rFonts w:ascii="Tahoma" w:hAnsi="Tahoma" w:cs="Tahoma"/>
          <w:bCs/>
          <w:lang w:eastAsia="ar-SA"/>
        </w:rPr>
        <w:t>Strada 1 Mai, N</w:t>
      </w:r>
      <w:r w:rsidR="00E80AAB" w:rsidRPr="00E80AAB">
        <w:rPr>
          <w:rFonts w:ascii="Tahoma" w:hAnsi="Tahoma" w:cs="Tahoma"/>
          <w:bCs/>
          <w:lang w:eastAsia="ar-SA"/>
        </w:rPr>
        <w:t>r. 12)</w:t>
      </w:r>
      <w:r w:rsidR="00E80AAB">
        <w:rPr>
          <w:rFonts w:ascii="Tahoma" w:hAnsi="Tahoma" w:cs="Tahoma"/>
          <w:bCs/>
          <w:lang w:eastAsia="ar-SA"/>
        </w:rPr>
        <w:t>, proiect avizat favorabil în ședința de lucru a Comisiei de urbanism din data de 27 aprilie 2017;</w:t>
      </w:r>
    </w:p>
    <w:p w:rsidR="00EE2FF2" w:rsidRDefault="00EE2FF2" w:rsidP="00EE2F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ahoma" w:hAnsi="Tahoma" w:cs="Tahoma"/>
          <w:bCs/>
          <w:lang w:eastAsia="ar-SA"/>
        </w:rPr>
        <w:t xml:space="preserve">         În baza prevederilor Legii Nr 7/1996 Legea cadastrului și publicității imobiliare și a Ordinului Nr. 700/2014</w:t>
      </w:r>
      <w:r>
        <w:rPr>
          <w:sz w:val="28"/>
          <w:szCs w:val="28"/>
        </w:rPr>
        <w:t xml:space="preserve"> privind aprobarea Regulamentului de avizare, recepţie şi înscriere în evidenţele de cadastru şi carte funciară</w:t>
      </w:r>
    </w:p>
    <w:p w:rsidR="00E80AAB" w:rsidRPr="00E80AAB" w:rsidRDefault="00E80AAB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BF05CA" w:rsidRDefault="00E80AAB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E80AAB">
        <w:rPr>
          <w:rFonts w:ascii="Tahoma" w:hAnsi="Tahoma" w:cs="Tahoma"/>
          <w:bCs/>
          <w:lang w:eastAsia="ar-SA"/>
        </w:rPr>
        <w:t>În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E80AAB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E80AAB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E80AAB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),</w:t>
      </w:r>
      <w:r w:rsidRPr="00E80AAB">
        <w:rPr>
          <w:rFonts w:ascii="Tahoma" w:hAnsi="Tahoma" w:cs="Tahoma"/>
          <w:bCs/>
          <w:lang w:eastAsia="ar-SA"/>
        </w:rPr>
        <w:t xml:space="preserve"> lit. c</w:t>
      </w:r>
      <w:r>
        <w:rPr>
          <w:rFonts w:ascii="Tahoma" w:hAnsi="Tahoma" w:cs="Tahoma"/>
          <w:bCs/>
          <w:lang w:eastAsia="ar-SA"/>
        </w:rPr>
        <w:t>)</w:t>
      </w:r>
      <w:r w:rsidRPr="00E80AAB">
        <w:rPr>
          <w:rFonts w:ascii="Tahoma" w:hAnsi="Tahoma" w:cs="Tahoma"/>
          <w:bCs/>
          <w:lang w:eastAsia="ar-SA"/>
        </w:rPr>
        <w:t>; art.</w:t>
      </w:r>
      <w:r>
        <w:rPr>
          <w:rFonts w:ascii="Tahoma" w:hAnsi="Tahoma" w:cs="Tahoma"/>
          <w:bCs/>
          <w:lang w:eastAsia="ar-SA"/>
        </w:rPr>
        <w:t xml:space="preserve"> </w:t>
      </w:r>
      <w:r w:rsidRPr="00E80AAB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E80AAB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="00EE2FF2">
        <w:rPr>
          <w:rFonts w:ascii="Tahoma" w:hAnsi="Tahoma" w:cs="Tahoma"/>
          <w:bCs/>
          <w:lang w:eastAsia="ar-SA"/>
        </w:rPr>
        <w:t>3</w:t>
      </w:r>
      <w:r>
        <w:rPr>
          <w:rFonts w:ascii="Tahoma" w:hAnsi="Tahoma" w:cs="Tahoma"/>
          <w:bCs/>
          <w:lang w:eastAsia="ar-SA"/>
        </w:rPr>
        <w:t>)</w:t>
      </w:r>
      <w:r w:rsidRPr="00E80AAB">
        <w:rPr>
          <w:rFonts w:ascii="Tahoma" w:hAnsi="Tahoma" w:cs="Tahoma"/>
          <w:bCs/>
          <w:lang w:eastAsia="ar-SA"/>
        </w:rPr>
        <w:t xml:space="preserve"> şi art.</w:t>
      </w:r>
      <w:r>
        <w:rPr>
          <w:rFonts w:ascii="Tahoma" w:hAnsi="Tahoma" w:cs="Tahoma"/>
          <w:bCs/>
          <w:lang w:eastAsia="ar-SA"/>
        </w:rPr>
        <w:t xml:space="preserve"> </w:t>
      </w:r>
      <w:r w:rsidRPr="00E80AAB">
        <w:rPr>
          <w:rFonts w:ascii="Tahoma" w:hAnsi="Tahoma" w:cs="Tahoma"/>
          <w:bCs/>
          <w:lang w:eastAsia="ar-SA"/>
        </w:rPr>
        <w:t>119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 w:rsidR="00E24155"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882279" w:rsidRDefault="00882279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E80AAB" w:rsidRPr="00E80AAB" w:rsidRDefault="00165A11" w:rsidP="00E80AA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>rectificarea suprafeței imobilu</w:t>
      </w:r>
      <w:r w:rsidR="00E80AAB">
        <w:rPr>
          <w:rFonts w:ascii="Tahoma" w:hAnsi="Tahoma" w:cs="Tahoma"/>
          <w:snapToGrid w:val="0"/>
          <w:color w:val="000000"/>
          <w:lang w:eastAsia="en-US"/>
        </w:rPr>
        <w:t>lui înscris în Cartea Funciară Nr. 51119 cu N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>r. topo. 95/1/1/1 de la 1</w:t>
      </w:r>
      <w:r w:rsidR="00E80AAB">
        <w:rPr>
          <w:rFonts w:ascii="Tahoma" w:hAnsi="Tahoma" w:cs="Tahoma"/>
          <w:snapToGrid w:val="0"/>
          <w:color w:val="000000"/>
          <w:lang w:eastAsia="en-US"/>
        </w:rPr>
        <w:t>.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>000 m</w:t>
      </w:r>
      <w:r w:rsidR="00E80AAB">
        <w:rPr>
          <w:rFonts w:ascii="Tahoma" w:hAnsi="Tahoma" w:cs="Tahoma"/>
          <w:snapToGrid w:val="0"/>
          <w:color w:val="000000"/>
          <w:lang w:eastAsia="en-US"/>
        </w:rPr>
        <w:t>.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>p</w:t>
      </w:r>
      <w:r w:rsidR="00E80AAB">
        <w:rPr>
          <w:rFonts w:ascii="Tahoma" w:hAnsi="Tahoma" w:cs="Tahoma"/>
          <w:snapToGrid w:val="0"/>
          <w:color w:val="000000"/>
          <w:lang w:eastAsia="en-US"/>
        </w:rPr>
        <w:t>.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 xml:space="preserve"> din acte la cea de 930 m</w:t>
      </w:r>
      <w:r w:rsidR="00E80AAB">
        <w:rPr>
          <w:rFonts w:ascii="Tahoma" w:hAnsi="Tahoma" w:cs="Tahoma"/>
          <w:snapToGrid w:val="0"/>
          <w:color w:val="000000"/>
          <w:lang w:eastAsia="en-US"/>
        </w:rPr>
        <w:t>.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>p</w:t>
      </w:r>
      <w:r w:rsidR="00E80AAB">
        <w:rPr>
          <w:rFonts w:ascii="Tahoma" w:hAnsi="Tahoma" w:cs="Tahoma"/>
          <w:snapToGrid w:val="0"/>
          <w:color w:val="000000"/>
          <w:lang w:eastAsia="en-US"/>
        </w:rPr>
        <w:t>.</w:t>
      </w:r>
      <w:r w:rsidR="00E80AAB" w:rsidRPr="00E80AAB">
        <w:rPr>
          <w:rFonts w:ascii="Tahoma" w:hAnsi="Tahoma" w:cs="Tahoma"/>
          <w:snapToGrid w:val="0"/>
          <w:color w:val="000000"/>
          <w:lang w:eastAsia="en-US"/>
        </w:rPr>
        <w:t xml:space="preserve"> rezultată în urma măsurătorilor.</w:t>
      </w:r>
    </w:p>
    <w:p w:rsidR="003E37A4" w:rsidRDefault="00E80AAB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80AA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E80AAB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 se încredinţează Primarul M</w:t>
      </w:r>
      <w:r w:rsidRPr="00E80AAB">
        <w:rPr>
          <w:rFonts w:ascii="Tahoma" w:hAnsi="Tahoma" w:cs="Tahoma"/>
          <w:snapToGrid w:val="0"/>
          <w:color w:val="000000"/>
          <w:lang w:eastAsia="en-US"/>
        </w:rPr>
        <w:t>unicipiului Dej prin Compartimentul Juridic, Compartimentul Patri</w:t>
      </w:r>
      <w:r>
        <w:rPr>
          <w:rFonts w:ascii="Tahoma" w:hAnsi="Tahoma" w:cs="Tahoma"/>
          <w:snapToGrid w:val="0"/>
          <w:color w:val="000000"/>
          <w:lang w:eastAsia="en-US"/>
        </w:rPr>
        <w:t>moniu și Serviciul de Urbanism ș</w:t>
      </w:r>
      <w:r w:rsidRPr="00E80AAB">
        <w:rPr>
          <w:rFonts w:ascii="Tahoma" w:hAnsi="Tahoma" w:cs="Tahoma"/>
          <w:snapToGrid w:val="0"/>
          <w:color w:val="000000"/>
          <w:lang w:eastAsia="en-US"/>
        </w:rPr>
        <w:t>i Amenajarea Teritoriului  din cadrul Primăriei Municipiului Dej.</w:t>
      </w:r>
    </w:p>
    <w:p w:rsidR="00E80AAB" w:rsidRDefault="00E80AAB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E80AAB" w:rsidRDefault="00E80AAB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EE2FF2" w:rsidRPr="00E80AAB" w:rsidRDefault="00EE2FF2" w:rsidP="00E80AA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16507" w:rsidRPr="006F250A" w:rsidRDefault="00016507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6F250A" w:rsidRDefault="006F250A" w:rsidP="00E81AAD">
      <w:pPr>
        <w:suppressAutoHyphens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82279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82279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0D" w:rsidRDefault="00920E0D" w:rsidP="00857553">
      <w:r>
        <w:separator/>
      </w:r>
    </w:p>
  </w:endnote>
  <w:endnote w:type="continuationSeparator" w:id="0">
    <w:p w:rsidR="00920E0D" w:rsidRDefault="00920E0D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0D" w:rsidRDefault="00920E0D" w:rsidP="00857553">
      <w:r>
        <w:separator/>
      </w:r>
    </w:p>
  </w:footnote>
  <w:footnote w:type="continuationSeparator" w:id="0">
    <w:p w:rsidR="00920E0D" w:rsidRDefault="00920E0D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6E07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90973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3DE8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49FB"/>
    <w:rsid w:val="00737DFF"/>
    <w:rsid w:val="00746779"/>
    <w:rsid w:val="00746D3E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54EF"/>
    <w:rsid w:val="007A622E"/>
    <w:rsid w:val="007B1C1B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279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0E0D"/>
    <w:rsid w:val="00922C76"/>
    <w:rsid w:val="00923C09"/>
    <w:rsid w:val="0092624C"/>
    <w:rsid w:val="00935F76"/>
    <w:rsid w:val="009572B7"/>
    <w:rsid w:val="009576C6"/>
    <w:rsid w:val="009742EF"/>
    <w:rsid w:val="00976181"/>
    <w:rsid w:val="009773F5"/>
    <w:rsid w:val="0099268B"/>
    <w:rsid w:val="009A6B42"/>
    <w:rsid w:val="009D782D"/>
    <w:rsid w:val="009E7481"/>
    <w:rsid w:val="009F6553"/>
    <w:rsid w:val="00A01F34"/>
    <w:rsid w:val="00A04CBE"/>
    <w:rsid w:val="00A06B4A"/>
    <w:rsid w:val="00A16E4B"/>
    <w:rsid w:val="00A33D7D"/>
    <w:rsid w:val="00A44F08"/>
    <w:rsid w:val="00A47742"/>
    <w:rsid w:val="00A6120A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6D55"/>
    <w:rsid w:val="00B02F5A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14A3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0AAB"/>
    <w:rsid w:val="00E81AAD"/>
    <w:rsid w:val="00E836D4"/>
    <w:rsid w:val="00E932E9"/>
    <w:rsid w:val="00EA2CD6"/>
    <w:rsid w:val="00EA5AFC"/>
    <w:rsid w:val="00EB3347"/>
    <w:rsid w:val="00EB448C"/>
    <w:rsid w:val="00EC0F25"/>
    <w:rsid w:val="00ED0EFE"/>
    <w:rsid w:val="00EE2FF2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57</Număr_x0020_HCL>
    <_dlc_DocId xmlns="49ad8bbe-11e1-42b2-a965-6a341b5f7ad4">PMD17-83-2490</_dlc_DocId>
    <_dlc_DocIdUrl xmlns="49ad8bbe-11e1-42b2-a965-6a341b5f7ad4">
      <Url>http://smdoc/Situri/CL/_layouts/15/DocIdRedir.aspx?ID=PMD17-83-2490</Url>
      <Description>PMD17-83-2490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2017-05-26T22:57:00+00:00</_vti_ItemDeclaredRecord>
  </documentManagement>
</p:properties>
</file>

<file path=customXml/itemProps1.xml><?xml version="1.0" encoding="utf-8"?>
<ds:datastoreItem xmlns:ds="http://schemas.openxmlformats.org/officeDocument/2006/customXml" ds:itemID="{1CA9E14F-C78F-42E9-82CD-1D7AB654B0CF}"/>
</file>

<file path=customXml/itemProps2.xml><?xml version="1.0" encoding="utf-8"?>
<ds:datastoreItem xmlns:ds="http://schemas.openxmlformats.org/officeDocument/2006/customXml" ds:itemID="{D9588BA3-7225-4213-BC3E-4D8ACEA2AA98}"/>
</file>

<file path=customXml/itemProps3.xml><?xml version="1.0" encoding="utf-8"?>
<ds:datastoreItem xmlns:ds="http://schemas.openxmlformats.org/officeDocument/2006/customXml" ds:itemID="{8DC9593B-897C-448C-B0C5-9F3978D87262}"/>
</file>

<file path=customXml/itemProps4.xml><?xml version="1.0" encoding="utf-8"?>
<ds:datastoreItem xmlns:ds="http://schemas.openxmlformats.org/officeDocument/2006/customXml" ds:itemID="{41BC6C7B-3691-4151-8DB8-B98B0A956DD6}"/>
</file>

<file path=customXml/itemProps5.xml><?xml version="1.0" encoding="utf-8"?>
<ds:datastoreItem xmlns:ds="http://schemas.openxmlformats.org/officeDocument/2006/customXml" ds:itemID="{EDC49969-7128-4B65-AAD2-2FAA2B8954BC}"/>
</file>

<file path=customXml/itemProps6.xml><?xml version="1.0" encoding="utf-8"?>
<ds:datastoreItem xmlns:ds="http://schemas.openxmlformats.org/officeDocument/2006/customXml" ds:itemID="{34563B9D-49C6-4BD2-A387-5BAE6D632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2087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suprafata teren</dc:subject>
  <dc:creator>Elena Mereuță</dc:creator>
  <dc:description/>
  <cp:lastModifiedBy>Elena Mereuță</cp:lastModifiedBy>
  <cp:revision>2</cp:revision>
  <cp:lastPrinted>2017-05-03T09:48:00Z</cp:lastPrinted>
  <dcterms:created xsi:type="dcterms:W3CDTF">2017-05-16T06:42:00Z</dcterms:created>
  <dcterms:modified xsi:type="dcterms:W3CDTF">2017-05-16T06:42:00Z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0dac18db-8ef5-4b95-882d-b2c84a352308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01:57:01</vt:lpwstr>
  </property>
  <property fmtid="{D5CDD505-2E9C-101B-9397-08002B2CF9AE}" pid="10" name="_dlc_ItemStageId">
    <vt:lpwstr>2</vt:lpwstr>
  </property>
</Properties>
</file>