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8552"/>
      </w:tblGrid>
      <w:tr w:rsidR="000C5F43" w:rsidRPr="00EC313F" w:rsidTr="00054252"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0C5F43" w:rsidRDefault="00CC4396" w:rsidP="00054252">
            <w:pPr>
              <w:pStyle w:val="Ante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6885" cy="731520"/>
                  <wp:effectExtent l="1905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0C5F43" w:rsidRPr="00054252" w:rsidRDefault="000C5F43" w:rsidP="004E6121">
            <w:pPr>
              <w:rPr>
                <w:rFonts w:ascii="Verdana" w:hAnsi="Verdana"/>
                <w:b/>
              </w:rPr>
            </w:pPr>
            <w:r w:rsidRPr="00054252">
              <w:rPr>
                <w:rFonts w:ascii="Verdana" w:hAnsi="Verdana"/>
                <w:b/>
              </w:rPr>
              <w:t>ROMÂNIA</w:t>
            </w:r>
          </w:p>
          <w:p w:rsidR="000C5F43" w:rsidRPr="00054252" w:rsidRDefault="000C5F43" w:rsidP="004E6121">
            <w:pPr>
              <w:rPr>
                <w:rFonts w:ascii="Verdana" w:hAnsi="Verdana"/>
                <w:b/>
              </w:rPr>
            </w:pPr>
            <w:r w:rsidRPr="00054252">
              <w:rPr>
                <w:rFonts w:ascii="Verdana" w:hAnsi="Verdana"/>
                <w:b/>
              </w:rPr>
              <w:t>JUDEŢUL CLUJ</w:t>
            </w:r>
          </w:p>
          <w:p w:rsidR="000C5F43" w:rsidRPr="00054252" w:rsidRDefault="000C5F43" w:rsidP="004E6121">
            <w:pPr>
              <w:rPr>
                <w:rFonts w:ascii="Verdana" w:hAnsi="Verdana"/>
                <w:b/>
              </w:rPr>
            </w:pPr>
            <w:r w:rsidRPr="00054252">
              <w:rPr>
                <w:rFonts w:ascii="Verdana" w:hAnsi="Verdana"/>
                <w:b/>
              </w:rPr>
              <w:t>MUNICIPIULUI DEJ</w:t>
            </w:r>
          </w:p>
          <w:p w:rsidR="000C5F43" w:rsidRPr="00054252" w:rsidRDefault="000C5F43" w:rsidP="004E6121">
            <w:pPr>
              <w:rPr>
                <w:rFonts w:ascii="Verdana" w:hAnsi="Verdana"/>
                <w:sz w:val="20"/>
              </w:rPr>
            </w:pPr>
            <w:r w:rsidRPr="00054252">
              <w:rPr>
                <w:rFonts w:ascii="Verdana" w:hAnsi="Verdana"/>
                <w:sz w:val="20"/>
              </w:rPr>
              <w:t xml:space="preserve">Str. 1 Mai nr. 2, Tel.: 0264/211790*, Fax 0264/223260, E-mail: </w:t>
            </w:r>
            <w:hyperlink r:id="rId8" w:history="1">
              <w:r w:rsidRPr="00054252">
                <w:rPr>
                  <w:rStyle w:val="Hyperlink"/>
                  <w:rFonts w:ascii="Verdana" w:hAnsi="Verdana"/>
                  <w:sz w:val="20"/>
                </w:rPr>
                <w:t>primaria@dej.ro</w:t>
              </w:r>
            </w:hyperlink>
          </w:p>
        </w:tc>
      </w:tr>
    </w:tbl>
    <w:p w:rsidR="000C5F43" w:rsidRDefault="000C5F43" w:rsidP="004E6121">
      <w:pPr>
        <w:rPr>
          <w:color w:val="001133"/>
        </w:rPr>
      </w:pPr>
    </w:p>
    <w:p w:rsidR="009306B6" w:rsidRDefault="009306B6" w:rsidP="004E6121">
      <w:pPr>
        <w:rPr>
          <w:color w:val="001133"/>
        </w:rPr>
      </w:pPr>
    </w:p>
    <w:p w:rsidR="009306B6" w:rsidRDefault="009306B6" w:rsidP="004E6121">
      <w:pPr>
        <w:rPr>
          <w:color w:val="001133"/>
        </w:rPr>
      </w:pPr>
    </w:p>
    <w:p w:rsidR="009306B6" w:rsidRDefault="009306B6" w:rsidP="004E6121">
      <w:pPr>
        <w:rPr>
          <w:color w:val="001133"/>
        </w:rPr>
      </w:pPr>
    </w:p>
    <w:p w:rsidR="000C5F43" w:rsidRDefault="000C5F43" w:rsidP="004E6121">
      <w:pPr>
        <w:rPr>
          <w:color w:val="001133"/>
        </w:rPr>
      </w:pPr>
    </w:p>
    <w:p w:rsidR="000C5F43" w:rsidRPr="00E07C26" w:rsidRDefault="000C5F43" w:rsidP="004E6121">
      <w:pPr>
        <w:rPr>
          <w:color w:val="001133"/>
        </w:rPr>
      </w:pPr>
      <w:r w:rsidRPr="00E07C26">
        <w:t xml:space="preserve">                                                              </w:t>
      </w:r>
      <w:r w:rsidRPr="00E07C26">
        <w:rPr>
          <w:rStyle w:val="Robust"/>
          <w:color w:val="000000"/>
        </w:rPr>
        <w:t>PROIECT DE HOTĂRÂRE</w:t>
      </w:r>
    </w:p>
    <w:p w:rsidR="000C5F43" w:rsidRDefault="000C5F43" w:rsidP="004E6121">
      <w:pPr>
        <w:rPr>
          <w:rStyle w:val="Robust"/>
          <w:color w:val="000000"/>
        </w:rPr>
      </w:pPr>
      <w:r w:rsidRPr="00E07C26">
        <w:rPr>
          <w:rStyle w:val="Robust"/>
          <w:color w:val="000000"/>
        </w:rPr>
        <w:t xml:space="preserve">                                        </w:t>
      </w:r>
      <w:r w:rsidR="00CC59B2">
        <w:rPr>
          <w:rStyle w:val="Robust"/>
          <w:color w:val="000000"/>
        </w:rPr>
        <w:t>p</w:t>
      </w:r>
      <w:r w:rsidRPr="00E07C26">
        <w:rPr>
          <w:rStyle w:val="Robust"/>
          <w:color w:val="000000"/>
        </w:rPr>
        <w:t>rivind</w:t>
      </w:r>
      <w:r w:rsidR="00A252A9">
        <w:rPr>
          <w:rStyle w:val="Robust"/>
          <w:color w:val="000000"/>
        </w:rPr>
        <w:t xml:space="preserve"> aprobarea</w:t>
      </w:r>
      <w:r w:rsidR="00CC59B2">
        <w:rPr>
          <w:rStyle w:val="Robust"/>
          <w:color w:val="000000"/>
        </w:rPr>
        <w:t xml:space="preserve"> </w:t>
      </w:r>
      <w:r w:rsidR="006C1B6E">
        <w:rPr>
          <w:rStyle w:val="Robust"/>
          <w:color w:val="000000"/>
        </w:rPr>
        <w:t xml:space="preserve"> </w:t>
      </w:r>
      <w:r w:rsidRPr="00E07C26">
        <w:rPr>
          <w:rStyle w:val="Robust"/>
          <w:color w:val="000000"/>
        </w:rPr>
        <w:t xml:space="preserve">impozitelor </w:t>
      </w:r>
      <w:proofErr w:type="spellStart"/>
      <w:r w:rsidRPr="00E07C26">
        <w:rPr>
          <w:rStyle w:val="Robust"/>
          <w:color w:val="000000"/>
        </w:rPr>
        <w:t>şi</w:t>
      </w:r>
      <w:proofErr w:type="spellEnd"/>
      <w:r w:rsidRPr="00E07C26">
        <w:rPr>
          <w:rStyle w:val="Robust"/>
          <w:color w:val="000000"/>
        </w:rPr>
        <w:t xml:space="preserve"> taxelor locale </w:t>
      </w:r>
    </w:p>
    <w:p w:rsidR="003571D8" w:rsidRDefault="00181173" w:rsidP="00617B4C">
      <w:pPr>
        <w:jc w:val="center"/>
        <w:rPr>
          <w:rStyle w:val="Robust"/>
          <w:color w:val="000000"/>
        </w:rPr>
      </w:pPr>
      <w:r>
        <w:rPr>
          <w:rStyle w:val="Robust"/>
          <w:color w:val="000000"/>
        </w:rPr>
        <w:t xml:space="preserve">pentru anul 2026 </w:t>
      </w:r>
    </w:p>
    <w:p w:rsidR="00CC59B2" w:rsidRPr="00E07C26" w:rsidRDefault="00CC59B2" w:rsidP="004E6121">
      <w:pPr>
        <w:rPr>
          <w:color w:val="001133"/>
        </w:rPr>
      </w:pPr>
    </w:p>
    <w:p w:rsidR="000C5F43" w:rsidRDefault="003571D8" w:rsidP="004E6121">
      <w:pPr>
        <w:rPr>
          <w:rStyle w:val="Robust"/>
          <w:b w:val="0"/>
          <w:color w:val="000000"/>
        </w:rPr>
      </w:pPr>
      <w:r>
        <w:rPr>
          <w:rStyle w:val="Robust"/>
          <w:color w:val="000000"/>
        </w:rPr>
        <w:t xml:space="preserve">     </w:t>
      </w:r>
      <w:r>
        <w:rPr>
          <w:rStyle w:val="Robust"/>
          <w:color w:val="000000"/>
        </w:rPr>
        <w:tab/>
      </w:r>
      <w:r w:rsidR="000C5F43" w:rsidRPr="003571D8">
        <w:rPr>
          <w:rStyle w:val="Robust"/>
          <w:b w:val="0"/>
          <w:color w:val="000000"/>
        </w:rPr>
        <w:t xml:space="preserve">  </w:t>
      </w:r>
      <w:r w:rsidRPr="003571D8">
        <w:rPr>
          <w:rStyle w:val="Robust"/>
          <w:b w:val="0"/>
          <w:color w:val="000000"/>
        </w:rPr>
        <w:t>Co</w:t>
      </w:r>
      <w:r>
        <w:rPr>
          <w:rStyle w:val="Robust"/>
          <w:b w:val="0"/>
          <w:color w:val="000000"/>
        </w:rPr>
        <w:t>nsiliul  Local al  Municipiului Dej</w:t>
      </w:r>
      <w:r w:rsidR="000C5F43" w:rsidRPr="003571D8">
        <w:rPr>
          <w:rStyle w:val="Robust"/>
          <w:b w:val="0"/>
          <w:color w:val="000000"/>
        </w:rPr>
        <w:t>,</w:t>
      </w:r>
      <w:r>
        <w:rPr>
          <w:rStyle w:val="Robust"/>
          <w:b w:val="0"/>
          <w:color w:val="000000"/>
        </w:rPr>
        <w:t xml:space="preserve"> întrunit în ședința ordinară din data de ………… </w:t>
      </w:r>
      <w:r w:rsidR="00A252A9">
        <w:rPr>
          <w:rStyle w:val="Robust"/>
          <w:b w:val="0"/>
          <w:color w:val="000000"/>
        </w:rPr>
        <w:t>decembrie</w:t>
      </w:r>
      <w:r>
        <w:rPr>
          <w:rStyle w:val="Robust"/>
          <w:b w:val="0"/>
          <w:color w:val="000000"/>
        </w:rPr>
        <w:t xml:space="preserve"> 2025, legal constituită;</w:t>
      </w:r>
    </w:p>
    <w:p w:rsidR="003571D8" w:rsidRDefault="003571D8" w:rsidP="003571D8">
      <w:pPr>
        <w:ind w:firstLine="708"/>
        <w:rPr>
          <w:rStyle w:val="Robust"/>
          <w:b w:val="0"/>
          <w:color w:val="000000"/>
        </w:rPr>
      </w:pPr>
      <w:r>
        <w:rPr>
          <w:rStyle w:val="Robust"/>
          <w:b w:val="0"/>
          <w:color w:val="000000"/>
        </w:rPr>
        <w:t>Examinând document</w:t>
      </w:r>
      <w:r w:rsidR="00A252A9">
        <w:rPr>
          <w:rStyle w:val="Robust"/>
          <w:b w:val="0"/>
          <w:color w:val="000000"/>
        </w:rPr>
        <w:t>ația întocmită privind aprobarea</w:t>
      </w:r>
      <w:r>
        <w:rPr>
          <w:rStyle w:val="Robust"/>
          <w:b w:val="0"/>
          <w:color w:val="000000"/>
        </w:rPr>
        <w:t xml:space="preserve"> impozitelor și </w:t>
      </w:r>
      <w:r w:rsidR="00A252A9">
        <w:rPr>
          <w:rStyle w:val="Robust"/>
          <w:b w:val="0"/>
          <w:color w:val="000000"/>
        </w:rPr>
        <w:t xml:space="preserve">taxelor locale pentru anul 2026, </w:t>
      </w:r>
      <w:r>
        <w:rPr>
          <w:rStyle w:val="Robust"/>
          <w:b w:val="0"/>
          <w:color w:val="000000"/>
        </w:rPr>
        <w:t xml:space="preserve"> proiect din inițiativa primarului;</w:t>
      </w:r>
    </w:p>
    <w:p w:rsidR="003571D8" w:rsidRDefault="003571D8" w:rsidP="003571D8">
      <w:pPr>
        <w:ind w:firstLine="708"/>
        <w:rPr>
          <w:rStyle w:val="Robust"/>
          <w:b w:val="0"/>
          <w:color w:val="000000"/>
        </w:rPr>
      </w:pPr>
      <w:r>
        <w:rPr>
          <w:rStyle w:val="Robust"/>
          <w:b w:val="0"/>
          <w:color w:val="000000"/>
        </w:rPr>
        <w:t>Având în vedere:</w:t>
      </w:r>
    </w:p>
    <w:p w:rsidR="000C5F43" w:rsidRPr="00CC2CA2" w:rsidRDefault="00CC59B2" w:rsidP="003571D8">
      <w:pPr>
        <w:pStyle w:val="Listparagraf"/>
        <w:numPr>
          <w:ilvl w:val="0"/>
          <w:numId w:val="2"/>
        </w:numPr>
        <w:rPr>
          <w:color w:val="001133"/>
        </w:rPr>
      </w:pPr>
      <w:r>
        <w:t>raportul de specialitate al</w:t>
      </w:r>
      <w:r w:rsidR="0071518D">
        <w:t xml:space="preserve"> </w:t>
      </w:r>
      <w:r w:rsidR="00B840C7">
        <w:t>Serviciului Impozite și Taxe nr</w:t>
      </w:r>
      <w:r w:rsidR="00AA2EFC">
        <w:t>. 39014</w:t>
      </w:r>
      <w:r w:rsidR="00224E83">
        <w:t xml:space="preserve"> </w:t>
      </w:r>
      <w:r w:rsidR="000C5F43">
        <w:t xml:space="preserve">din </w:t>
      </w:r>
      <w:r w:rsidR="00AA2EFC">
        <w:t>12.12.</w:t>
      </w:r>
      <w:r w:rsidR="00740323">
        <w:t>202</w:t>
      </w:r>
      <w:r w:rsidR="00181173">
        <w:t>5</w:t>
      </w:r>
      <w:r>
        <w:t xml:space="preserve"> ;</w:t>
      </w:r>
      <w:r w:rsidR="000C5F43">
        <w:t xml:space="preserve">  </w:t>
      </w:r>
    </w:p>
    <w:p w:rsidR="00CC2CA2" w:rsidRDefault="00CC2CA2" w:rsidP="00CC2CA2">
      <w:pPr>
        <w:ind w:left="708"/>
        <w:rPr>
          <w:color w:val="001133"/>
        </w:rPr>
      </w:pPr>
      <w:r>
        <w:rPr>
          <w:color w:val="001133"/>
        </w:rPr>
        <w:t>În temeiul prevederilor:</w:t>
      </w:r>
    </w:p>
    <w:p w:rsidR="00CC2CA2" w:rsidRDefault="00CC2CA2" w:rsidP="00CC2CA2">
      <w:pPr>
        <w:pStyle w:val="Listparagraf"/>
        <w:numPr>
          <w:ilvl w:val="0"/>
          <w:numId w:val="2"/>
        </w:numPr>
        <w:rPr>
          <w:color w:val="001133"/>
        </w:rPr>
      </w:pPr>
      <w:r>
        <w:rPr>
          <w:color w:val="001133"/>
        </w:rPr>
        <w:t>art.9 pct.3 al Cartei Europene a autonomiei locale, adoptată la Strasbourg pe data de 15 octombrie 1985 și ratificată prin Legea nr. 199/1997;</w:t>
      </w:r>
    </w:p>
    <w:p w:rsidR="00CC2CA2" w:rsidRPr="00CC2CA2" w:rsidRDefault="00DF5E37" w:rsidP="00CC2CA2">
      <w:pPr>
        <w:pStyle w:val="Listparagraf"/>
        <w:numPr>
          <w:ilvl w:val="0"/>
          <w:numId w:val="2"/>
        </w:numPr>
        <w:rPr>
          <w:color w:val="001133"/>
        </w:rPr>
      </w:pPr>
      <w:r>
        <w:rPr>
          <w:color w:val="001133"/>
        </w:rPr>
        <w:t>art. 56, art. 120 alin,(1), art. 121 alin.(1)și (2) și art. 139 alin. (2) din Constituția României, republicată;</w:t>
      </w:r>
    </w:p>
    <w:p w:rsidR="000C5F43" w:rsidRDefault="003571D8" w:rsidP="004E6121">
      <w:pPr>
        <w:numPr>
          <w:ilvl w:val="0"/>
          <w:numId w:val="2"/>
        </w:numPr>
        <w:rPr>
          <w:color w:val="001133"/>
        </w:rPr>
      </w:pPr>
      <w:r>
        <w:t xml:space="preserve"> Legii </w:t>
      </w:r>
      <w:r w:rsidR="0071518D">
        <w:t>273/2006 -  privind finanț</w:t>
      </w:r>
      <w:r w:rsidR="000C5F43">
        <w:t>ele publice locale;</w:t>
      </w:r>
    </w:p>
    <w:p w:rsidR="000C5F43" w:rsidRDefault="000C5F43" w:rsidP="004E6121">
      <w:r>
        <w:t xml:space="preserve">                       </w:t>
      </w:r>
      <w:r w:rsidR="00C44AD1">
        <w:t xml:space="preserve"> </w:t>
      </w:r>
      <w:r>
        <w:t xml:space="preserve">- </w:t>
      </w:r>
      <w:r w:rsidR="00C65510">
        <w:t xml:space="preserve">   </w:t>
      </w:r>
      <w:r w:rsidR="00054BD2">
        <w:t xml:space="preserve"> </w:t>
      </w:r>
      <w:r w:rsidR="00CC59B2">
        <w:t xml:space="preserve">art. 491 din </w:t>
      </w:r>
      <w:r>
        <w:t xml:space="preserve"> Leg</w:t>
      </w:r>
      <w:r w:rsidR="00CC59B2">
        <w:t>ea</w:t>
      </w:r>
      <w:r>
        <w:t xml:space="preserve"> nr. </w:t>
      </w:r>
      <w:r w:rsidR="004705F6">
        <w:t>227/2015</w:t>
      </w:r>
      <w:r>
        <w:t xml:space="preserve"> privind Codul Fiscal , </w:t>
      </w:r>
    </w:p>
    <w:p w:rsidR="00AC7E15" w:rsidRPr="000C3192" w:rsidRDefault="00AC7E15" w:rsidP="00AC7E15">
      <w:pPr>
        <w:ind w:firstLine="708"/>
        <w:jc w:val="both"/>
      </w:pPr>
      <w:r>
        <w:t xml:space="preserve">          </w:t>
      </w:r>
      <w:r w:rsidR="004705F6">
        <w:t xml:space="preserve"> -</w:t>
      </w:r>
      <w:r w:rsidR="000C5F43">
        <w:rPr>
          <w:color w:val="001133"/>
        </w:rPr>
        <w:t xml:space="preserve"> </w:t>
      </w:r>
      <w:r w:rsidR="00C65510">
        <w:rPr>
          <w:color w:val="001133"/>
        </w:rPr>
        <w:t xml:space="preserve">  </w:t>
      </w:r>
      <w:r w:rsidRPr="000C3192">
        <w:t>Potrivit competentelor conferite de prevederile</w:t>
      </w:r>
      <w:r w:rsidR="00CC2CA2">
        <w:t xml:space="preserve"> art.5 pct. 10 lit. j) și pct.25 lit. x), art.87 și</w:t>
      </w:r>
      <w:r w:rsidRPr="000C3192">
        <w:t xml:space="preserve"> art. 129 alin.(2)lit. b si c, alin. (4)  litera c si art. 139 alin (3),lit.</w:t>
      </w:r>
      <w:r w:rsidR="00CC2CA2">
        <w:t xml:space="preserve"> </w:t>
      </w:r>
      <w:r w:rsidRPr="000C3192">
        <w:t>c  din ORDONANTA DE URGENTA nr. 57/2019 privind CODUL ADMINISTRATIV,</w:t>
      </w:r>
    </w:p>
    <w:p w:rsidR="000C5F43" w:rsidRDefault="000C5F43" w:rsidP="004705F6">
      <w:pPr>
        <w:ind w:left="708" w:firstLine="708"/>
      </w:pPr>
    </w:p>
    <w:p w:rsidR="00C65510" w:rsidRDefault="0009755B" w:rsidP="00C65510">
      <w:pPr>
        <w:ind w:left="708" w:firstLine="708"/>
        <w:rPr>
          <w:color w:val="001133"/>
        </w:rPr>
      </w:pPr>
      <w:r>
        <w:t xml:space="preserve"> </w:t>
      </w:r>
    </w:p>
    <w:p w:rsidR="000C5F43" w:rsidRDefault="000C5F43" w:rsidP="004E6121">
      <w:pPr>
        <w:rPr>
          <w:color w:val="001133"/>
        </w:rPr>
      </w:pPr>
    </w:p>
    <w:p w:rsidR="000C5F43" w:rsidRDefault="000C5F43" w:rsidP="004E6121">
      <w:pPr>
        <w:rPr>
          <w:rStyle w:val="Robust"/>
          <w:color w:val="000000"/>
          <w:sz w:val="20"/>
          <w:szCs w:val="20"/>
        </w:rPr>
      </w:pPr>
      <w:r>
        <w:rPr>
          <w:rStyle w:val="Robust"/>
          <w:color w:val="000000"/>
          <w:sz w:val="20"/>
          <w:szCs w:val="20"/>
        </w:rPr>
        <w:t xml:space="preserve">                                                                                   H O T Ă R Ă Ş T E:</w:t>
      </w:r>
    </w:p>
    <w:p w:rsidR="00CC2CA2" w:rsidRDefault="00CC2CA2" w:rsidP="004E6121">
      <w:pPr>
        <w:rPr>
          <w:rStyle w:val="Robust"/>
          <w:color w:val="000000"/>
          <w:sz w:val="20"/>
          <w:szCs w:val="20"/>
        </w:rPr>
      </w:pPr>
    </w:p>
    <w:p w:rsidR="00CC2CA2" w:rsidRDefault="00CC2CA2" w:rsidP="004E6121">
      <w:pPr>
        <w:rPr>
          <w:color w:val="001133"/>
        </w:rPr>
      </w:pPr>
    </w:p>
    <w:p w:rsidR="00617B4C" w:rsidRDefault="000C5F43" w:rsidP="00466DAB">
      <w:pPr>
        <w:autoSpaceDE w:val="0"/>
        <w:autoSpaceDN w:val="0"/>
        <w:adjustRightInd w:val="0"/>
        <w:ind w:firstLine="561"/>
        <w:jc w:val="both"/>
      </w:pPr>
      <w:r>
        <w:t>Art.</w:t>
      </w:r>
      <w:r w:rsidR="00466DAB">
        <w:t>1. (1) Se</w:t>
      </w:r>
      <w:r w:rsidR="00033C20">
        <w:t xml:space="preserve"> aprobă</w:t>
      </w:r>
      <w:r w:rsidR="00466DAB">
        <w:t xml:space="preserve"> </w:t>
      </w:r>
      <w:r w:rsidR="00A252A9">
        <w:t xml:space="preserve"> impozitele și taxele</w:t>
      </w:r>
      <w:r w:rsidR="00466DAB">
        <w:t xml:space="preserve"> locale, pentru anul 2026, conform anexei nr.1, care face parte integrantă din prezenta hotărâre.</w:t>
      </w:r>
    </w:p>
    <w:p w:rsidR="001E6C83" w:rsidRPr="007F4671" w:rsidRDefault="00466DAB" w:rsidP="001E6C83">
      <w:pPr>
        <w:autoSpaceDE w:val="0"/>
        <w:autoSpaceDN w:val="0"/>
        <w:adjustRightInd w:val="0"/>
        <w:jc w:val="both"/>
        <w:rPr>
          <w:b/>
        </w:rPr>
      </w:pPr>
      <w:r>
        <w:tab/>
      </w:r>
      <w:r w:rsidR="001E6C83">
        <w:rPr>
          <w:b/>
        </w:rPr>
        <w:tab/>
      </w:r>
      <w:r w:rsidR="001E6C83" w:rsidRPr="007D2102">
        <w:t xml:space="preserve">Pentru plata cu </w:t>
      </w:r>
      <w:proofErr w:type="spellStart"/>
      <w:r w:rsidR="001E6C83" w:rsidRPr="007D2102">
        <w:t>anticipaţie</w:t>
      </w:r>
      <w:proofErr w:type="spellEnd"/>
      <w:r w:rsidR="001E6C83" w:rsidRPr="007D2102">
        <w:t xml:space="preserve"> a impozitului pe clădiri, teren și mijloace de transport datorat pentru întregul an de către contribuabili, până la data de 31 martie a anului respectiv, se acordă o </w:t>
      </w:r>
      <w:proofErr w:type="spellStart"/>
      <w:r w:rsidR="001E6C83" w:rsidRPr="007D2102">
        <w:t>bonificaţie</w:t>
      </w:r>
      <w:proofErr w:type="spellEnd"/>
      <w:r w:rsidR="001E6C83" w:rsidRPr="007D2102">
        <w:t xml:space="preserve"> de până la 10% prevăzută la art. 462 (2), la art.467 (2) </w:t>
      </w:r>
      <w:proofErr w:type="spellStart"/>
      <w:r w:rsidR="001E6C83" w:rsidRPr="007D2102">
        <w:t>şi</w:t>
      </w:r>
      <w:proofErr w:type="spellEnd"/>
      <w:r w:rsidR="001E6C83" w:rsidRPr="007D2102">
        <w:t xml:space="preserve"> la art. 472 (2) din Legea nr. 227/2015 privind Codul fiscal , se </w:t>
      </w:r>
      <w:proofErr w:type="spellStart"/>
      <w:r w:rsidR="001E6C83" w:rsidRPr="007D2102">
        <w:t>stabileşte</w:t>
      </w:r>
      <w:proofErr w:type="spellEnd"/>
      <w:r w:rsidR="001E6C83" w:rsidRPr="007D2102">
        <w:t xml:space="preserve"> astfel:</w:t>
      </w:r>
    </w:p>
    <w:p w:rsidR="001E6C83" w:rsidRDefault="001E6C83" w:rsidP="001E6C83">
      <w:pPr>
        <w:autoSpaceDE w:val="0"/>
        <w:autoSpaceDN w:val="0"/>
        <w:adjustRightInd w:val="0"/>
        <w:jc w:val="both"/>
      </w:pPr>
    </w:p>
    <w:p w:rsidR="001E6C83" w:rsidRDefault="001E6C83" w:rsidP="001E6C83">
      <w:pPr>
        <w:autoSpaceDE w:val="0"/>
        <w:autoSpaceDN w:val="0"/>
        <w:adjustRightInd w:val="0"/>
        <w:jc w:val="both"/>
      </w:pPr>
    </w:p>
    <w:p w:rsidR="001E6C83" w:rsidRDefault="001E6C83" w:rsidP="001E6C83">
      <w:pPr>
        <w:autoSpaceDE w:val="0"/>
        <w:autoSpaceDN w:val="0"/>
        <w:adjustRightInd w:val="0"/>
        <w:jc w:val="both"/>
      </w:pPr>
    </w:p>
    <w:p w:rsidR="001E6C83" w:rsidRPr="007D2102" w:rsidRDefault="001E6C83" w:rsidP="001E6C83">
      <w:pPr>
        <w:autoSpaceDE w:val="0"/>
        <w:autoSpaceDN w:val="0"/>
        <w:adjustRightInd w:val="0"/>
        <w:jc w:val="both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744"/>
        <w:gridCol w:w="1384"/>
        <w:gridCol w:w="1683"/>
        <w:gridCol w:w="2192"/>
        <w:gridCol w:w="2192"/>
      </w:tblGrid>
      <w:tr w:rsidR="001E6C83" w:rsidTr="008243FA">
        <w:tc>
          <w:tcPr>
            <w:tcW w:w="2744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 w:rsidRPr="00DB7B6E">
              <w:t>Legea 227/2015</w:t>
            </w:r>
          </w:p>
        </w:tc>
        <w:tc>
          <w:tcPr>
            <w:tcW w:w="1384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 w:rsidRPr="00DB7B6E">
              <w:t>Bonificația acordată</w:t>
            </w:r>
            <w:r>
              <w:t xml:space="preserve"> 2025</w:t>
            </w:r>
          </w:p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</w:p>
        </w:tc>
        <w:tc>
          <w:tcPr>
            <w:tcW w:w="2192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 w:rsidRPr="00DB7B6E">
              <w:t>Bonificația propusă</w:t>
            </w:r>
          </w:p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>
              <w:t>p</w:t>
            </w:r>
            <w:r w:rsidRPr="00DB7B6E">
              <w:t>entru anul 20</w:t>
            </w:r>
            <w:r>
              <w:t>26</w:t>
            </w:r>
          </w:p>
        </w:tc>
        <w:tc>
          <w:tcPr>
            <w:tcW w:w="2192" w:type="dxa"/>
          </w:tcPr>
          <w:p w:rsidR="001E6C83" w:rsidRPr="00DB7B6E" w:rsidRDefault="00F576FE" w:rsidP="008243FA">
            <w:pPr>
              <w:autoSpaceDE w:val="0"/>
              <w:autoSpaceDN w:val="0"/>
              <w:adjustRightInd w:val="0"/>
            </w:pPr>
            <w:r>
              <w:t>Bonificaț</w:t>
            </w:r>
            <w:r w:rsidR="001E6C83" w:rsidRPr="00DB7B6E">
              <w:t>ia aprobată</w:t>
            </w:r>
          </w:p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>
              <w:t>p</w:t>
            </w:r>
            <w:r w:rsidRPr="00DB7B6E">
              <w:t>entru anul 20</w:t>
            </w:r>
            <w:r>
              <w:t>26</w:t>
            </w:r>
          </w:p>
        </w:tc>
      </w:tr>
      <w:tr w:rsidR="001E6C83" w:rsidTr="008243FA">
        <w:tc>
          <w:tcPr>
            <w:tcW w:w="2744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>
              <w:t>a)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cazul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impozitului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clădiri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datorat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contribuabili</w:t>
            </w:r>
            <w:proofErr w:type="spellEnd"/>
            <w:r>
              <w:rPr>
                <w:lang w:val="en-US"/>
              </w:rPr>
              <w:t xml:space="preserve"> , 0 – 10% ;</w:t>
            </w:r>
          </w:p>
        </w:tc>
        <w:tc>
          <w:tcPr>
            <w:tcW w:w="1384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83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2192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2192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E6C83" w:rsidTr="008243FA">
        <w:tc>
          <w:tcPr>
            <w:tcW w:w="2744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>
              <w:t xml:space="preserve">b) </w:t>
            </w:r>
            <w:r w:rsidRPr="00DB7B6E">
              <w:t xml:space="preserve">în cazul impozitului pe </w:t>
            </w:r>
            <w:r>
              <w:t>teren</w:t>
            </w:r>
            <w:r w:rsidRPr="00DB7B6E">
              <w:t xml:space="preserve"> datorat de contribuabili , 0 – 10% ;</w:t>
            </w:r>
          </w:p>
        </w:tc>
        <w:tc>
          <w:tcPr>
            <w:tcW w:w="1384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83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  <w:r w:rsidRPr="00DB7B6E">
              <w:rPr>
                <w:b/>
              </w:rPr>
              <w:t>10%</w:t>
            </w:r>
            <w:r w:rsidRPr="00DB7B6E">
              <w:rPr>
                <w:b/>
              </w:rPr>
              <w:tab/>
            </w:r>
          </w:p>
        </w:tc>
        <w:tc>
          <w:tcPr>
            <w:tcW w:w="2192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  <w:r w:rsidRPr="00DB7B6E">
              <w:rPr>
                <w:b/>
              </w:rPr>
              <w:t>10%</w:t>
            </w:r>
            <w:r w:rsidRPr="00DB7B6E">
              <w:rPr>
                <w:b/>
              </w:rPr>
              <w:tab/>
            </w:r>
          </w:p>
        </w:tc>
        <w:tc>
          <w:tcPr>
            <w:tcW w:w="2192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E6C83" w:rsidTr="008243FA">
        <w:tc>
          <w:tcPr>
            <w:tcW w:w="2744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</w:pPr>
            <w:r w:rsidRPr="00DB7B6E">
              <w:lastRenderedPageBreak/>
              <w:t xml:space="preserve">c) în cazul impozitului pe </w:t>
            </w:r>
            <w:r>
              <w:t>mijloacelor de transport</w:t>
            </w:r>
            <w:r w:rsidRPr="00DB7B6E">
              <w:t xml:space="preserve"> datorat de contribuabili , 0 – 10% ;</w:t>
            </w:r>
          </w:p>
        </w:tc>
        <w:tc>
          <w:tcPr>
            <w:tcW w:w="1384" w:type="dxa"/>
          </w:tcPr>
          <w:p w:rsidR="001E6C83" w:rsidRPr="00DB7B6E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83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  <w:r w:rsidRPr="00DB7B6E">
              <w:rPr>
                <w:b/>
              </w:rPr>
              <w:t>10%</w:t>
            </w:r>
            <w:r w:rsidRPr="00DB7B6E">
              <w:rPr>
                <w:b/>
              </w:rPr>
              <w:tab/>
            </w:r>
          </w:p>
        </w:tc>
        <w:tc>
          <w:tcPr>
            <w:tcW w:w="2192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  <w:r w:rsidRPr="00DB7B6E">
              <w:rPr>
                <w:b/>
              </w:rPr>
              <w:t>10%</w:t>
            </w:r>
            <w:r w:rsidRPr="00DB7B6E">
              <w:rPr>
                <w:b/>
              </w:rPr>
              <w:tab/>
            </w:r>
          </w:p>
        </w:tc>
        <w:tc>
          <w:tcPr>
            <w:tcW w:w="2192" w:type="dxa"/>
          </w:tcPr>
          <w:p w:rsidR="001E6C83" w:rsidRDefault="001E6C83" w:rsidP="008243F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1E6C83" w:rsidRPr="007D2102" w:rsidRDefault="001E6C83" w:rsidP="001E6C83">
      <w:pPr>
        <w:autoSpaceDE w:val="0"/>
        <w:autoSpaceDN w:val="0"/>
        <w:adjustRightInd w:val="0"/>
        <w:rPr>
          <w:b/>
        </w:rPr>
      </w:pPr>
    </w:p>
    <w:p w:rsidR="001E6C83" w:rsidRPr="00AB4777" w:rsidRDefault="001E6C83" w:rsidP="001E6C83">
      <w:pPr>
        <w:autoSpaceDE w:val="0"/>
        <w:autoSpaceDN w:val="0"/>
        <w:adjustRightInd w:val="0"/>
        <w:ind w:left="708" w:hanging="708"/>
      </w:pPr>
      <w:r w:rsidRPr="00AB4777">
        <w:t xml:space="preserve">     </w:t>
      </w:r>
      <w:r>
        <w:t xml:space="preserve"> </w:t>
      </w:r>
    </w:p>
    <w:p w:rsidR="001E6C83" w:rsidRPr="00DA5DAF" w:rsidRDefault="001E6C83" w:rsidP="001E6C83">
      <w:pPr>
        <w:autoSpaceDE w:val="0"/>
        <w:autoSpaceDN w:val="0"/>
        <w:adjustRightInd w:val="0"/>
        <w:ind w:left="708" w:hanging="708"/>
        <w:jc w:val="both"/>
      </w:pPr>
      <w:r w:rsidRPr="00AB4777">
        <w:t xml:space="preserve">     Consiliul local </w:t>
      </w:r>
      <w:r>
        <w:t>majorează</w:t>
      </w:r>
      <w:r w:rsidRPr="00AB4777">
        <w:t xml:space="preserve"> impozitul pe clădiri </w:t>
      </w:r>
      <w:proofErr w:type="spellStart"/>
      <w:r w:rsidRPr="00AB4777">
        <w:t>şi</w:t>
      </w:r>
      <w:proofErr w:type="spellEnd"/>
      <w:r w:rsidRPr="00AB4777">
        <w:t xml:space="preserve"> impozitul pe teren cu până la 500% </w:t>
      </w:r>
      <w:r w:rsidRPr="00DA5DAF">
        <w:rPr>
          <w:b/>
        </w:rPr>
        <w:t xml:space="preserve">pentru clădirile </w:t>
      </w:r>
      <w:proofErr w:type="spellStart"/>
      <w:r w:rsidRPr="00DA5DAF">
        <w:rPr>
          <w:b/>
        </w:rPr>
        <w:t>şi</w:t>
      </w:r>
      <w:proofErr w:type="spellEnd"/>
      <w:r w:rsidRPr="00DA5DAF">
        <w:rPr>
          <w:b/>
        </w:rPr>
        <w:t xml:space="preserve"> terenurile neîngrijite, </w:t>
      </w:r>
      <w:r w:rsidRPr="00DA5DAF">
        <w:t>situate în intravilan.</w:t>
      </w:r>
    </w:p>
    <w:p w:rsidR="001E6C83" w:rsidRPr="00AB4777" w:rsidRDefault="001E6C83" w:rsidP="001E6C83">
      <w:pPr>
        <w:autoSpaceDE w:val="0"/>
        <w:autoSpaceDN w:val="0"/>
        <w:adjustRightInd w:val="0"/>
        <w:ind w:firstLine="708"/>
        <w:jc w:val="both"/>
      </w:pPr>
      <w:r w:rsidRPr="00AB4777">
        <w:t xml:space="preserve"> Criteriile de încadrare în categoria clădirilor </w:t>
      </w:r>
      <w:proofErr w:type="spellStart"/>
      <w:r w:rsidRPr="00AB4777">
        <w:t>şi</w:t>
      </w:r>
      <w:proofErr w:type="spellEnd"/>
      <w:r w:rsidRPr="00AB4777">
        <w:t xml:space="preserve"> terenurilor prevăzute la alin</w:t>
      </w:r>
      <w:r>
        <w:t>iatul precedent</w:t>
      </w:r>
      <w:r w:rsidRPr="00AB4777">
        <w:t xml:space="preserve"> se adoptă prin hotărâre a consiliului local</w:t>
      </w:r>
      <w:r>
        <w:t xml:space="preserve">,  </w:t>
      </w:r>
      <w:r w:rsidRPr="00AB4777">
        <w:t xml:space="preserve">conform elementelor de identificare </w:t>
      </w:r>
      <w:r>
        <w:t>potrivit nomenclaturii stradale și au caracter individual.</w:t>
      </w:r>
    </w:p>
    <w:p w:rsidR="001E6C83" w:rsidRPr="00DB7B6E" w:rsidRDefault="001E6C83" w:rsidP="00402D68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 w:rsidRPr="00DB7B6E">
        <w:t xml:space="preserve">    Pentru determinarea impozitului pe clădiri în cazul persoanelor fizice, precum </w:t>
      </w:r>
      <w:proofErr w:type="spellStart"/>
      <w:r w:rsidRPr="00DB7B6E">
        <w:t>şi</w:t>
      </w:r>
      <w:proofErr w:type="spellEnd"/>
      <w:r w:rsidRPr="00DB7B6E">
        <w:t xml:space="preserve"> a impozitului pe teren, pentru anul 20</w:t>
      </w:r>
      <w:r w:rsidR="00F91D42">
        <w:t>26</w:t>
      </w:r>
      <w:r>
        <w:t xml:space="preserve">, se </w:t>
      </w:r>
      <w:proofErr w:type="spellStart"/>
      <w:r>
        <w:t>menţin</w:t>
      </w:r>
      <w:proofErr w:type="spellEnd"/>
      <w:r>
        <w:t xml:space="preserve"> criteriile de zonare si punctajul aferent pentru </w:t>
      </w:r>
      <w:r w:rsidRPr="00DB7B6E">
        <w:t xml:space="preserve">delimitarea zonelor </w:t>
      </w:r>
      <w:r>
        <w:t xml:space="preserve">de impozitare </w:t>
      </w:r>
      <w:r w:rsidRPr="00DB7B6E">
        <w:t>aprobat</w:t>
      </w:r>
      <w:r>
        <w:t>e</w:t>
      </w:r>
      <w:r w:rsidRPr="00DB7B6E">
        <w:t xml:space="preserve"> prin H.C.L al municipiului Dej nr. 102/2002 .  </w:t>
      </w:r>
    </w:p>
    <w:p w:rsidR="001E6C83" w:rsidRDefault="001E6C83" w:rsidP="001E6C83">
      <w:pPr>
        <w:ind w:firstLine="708"/>
        <w:jc w:val="both"/>
      </w:pPr>
      <w:r>
        <w:t>Art.2. –</w:t>
      </w:r>
      <w:r w:rsidR="00F91D42">
        <w:t xml:space="preserve"> Se </w:t>
      </w:r>
      <w:r>
        <w:t xml:space="preserve">aprobă valorile impozabile, impozitele si taxele locale, respectiv amenzile </w:t>
      </w:r>
      <w:proofErr w:type="spellStart"/>
      <w:r>
        <w:t>contravenţionale</w:t>
      </w:r>
      <w:proofErr w:type="spellEnd"/>
      <w:r>
        <w:t xml:space="preserve"> pentru anul 202</w:t>
      </w:r>
      <w:r w:rsidR="00F91D42">
        <w:t>6</w:t>
      </w:r>
      <w:r>
        <w:t xml:space="preserve"> astfel cum sunt ele prevăzute in </w:t>
      </w:r>
      <w:r w:rsidRPr="00497F2A">
        <w:rPr>
          <w:b/>
        </w:rPr>
        <w:t>anexa nr. 1</w:t>
      </w:r>
      <w:r>
        <w:t>, care face parte integrantă din prezenta hotărâre.</w:t>
      </w:r>
    </w:p>
    <w:p w:rsidR="001E6C83" w:rsidRPr="00455403" w:rsidRDefault="001E6C83" w:rsidP="001E6C83">
      <w:pPr>
        <w:autoSpaceDE w:val="0"/>
        <w:autoSpaceDN w:val="0"/>
        <w:adjustRightInd w:val="0"/>
        <w:jc w:val="both"/>
      </w:pPr>
      <w:r w:rsidRPr="00455403">
        <w:t xml:space="preserve">   </w:t>
      </w:r>
      <w:r w:rsidR="00AD6EC2">
        <w:t xml:space="preserve">          Art.</w:t>
      </w:r>
      <w:r>
        <w:t>3</w:t>
      </w:r>
      <w:r w:rsidR="00AD6EC2">
        <w:t xml:space="preserve"> - </w:t>
      </w:r>
      <w:r>
        <w:t xml:space="preserve">In conformitate cu prevederile   art. 462(1),467(1) </w:t>
      </w:r>
      <w:proofErr w:type="spellStart"/>
      <w:r>
        <w:t>şi</w:t>
      </w:r>
      <w:proofErr w:type="spellEnd"/>
      <w:r>
        <w:t xml:space="preserve"> 472(1) din Codul fiscal, plata i</w:t>
      </w:r>
      <w:r w:rsidRPr="00455403">
        <w:t>mpozitul</w:t>
      </w:r>
      <w:r w:rsidR="007F4671">
        <w:t>ui/taxei</w:t>
      </w:r>
      <w:r w:rsidRPr="00455403">
        <w:t xml:space="preserve"> pe clădiri</w:t>
      </w:r>
      <w:r w:rsidR="007F4671">
        <w:t>, impozitului/taxei</w:t>
      </w:r>
      <w:r>
        <w:t xml:space="preserve"> pe teren si impozitul pe mijloacele de transport </w:t>
      </w:r>
      <w:r w:rsidR="007F4671">
        <w:t xml:space="preserve"> se face</w:t>
      </w:r>
      <w:r w:rsidRPr="00455403">
        <w:t xml:space="preserve"> anual, în două rate egale, până la datele de 31 martie </w:t>
      </w:r>
      <w:proofErr w:type="spellStart"/>
      <w:r w:rsidRPr="00455403">
        <w:t>şi</w:t>
      </w:r>
      <w:proofErr w:type="spellEnd"/>
      <w:r w:rsidRPr="00455403">
        <w:t xml:space="preserve"> 30 septembrie inclusiv.</w:t>
      </w:r>
    </w:p>
    <w:p w:rsidR="001E6C83" w:rsidRPr="00676241" w:rsidRDefault="001E6C83" w:rsidP="001E6C83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455403">
        <w:t xml:space="preserve"> Impozitul anual pe clădiri,</w:t>
      </w:r>
      <w:r>
        <w:t xml:space="preserve"> impozitul/taxa pe teren si impozitul pe mijloacele de transport </w:t>
      </w:r>
      <w:r w:rsidR="00F13D3E">
        <w:t xml:space="preserve"> datorat  bugetului </w:t>
      </w:r>
      <w:r w:rsidRPr="00455403">
        <w:t>local de către contribuabili, persoane fizice sau juridice, de până</w:t>
      </w:r>
      <w:r w:rsidR="00F13D3E">
        <w:t xml:space="preserve"> la 50 lei inclusiv, se face</w:t>
      </w:r>
      <w:r w:rsidRPr="00455403">
        <w:t xml:space="preserve"> integral până la primul termen de plată. </w:t>
      </w:r>
      <w:r w:rsidRPr="009E6BDF">
        <w:t xml:space="preserve">                                                 </w:t>
      </w:r>
    </w:p>
    <w:p w:rsidR="001E6C83" w:rsidRPr="006277D2" w:rsidRDefault="00AD6EC2" w:rsidP="001E6C83">
      <w:pPr>
        <w:jc w:val="both"/>
      </w:pPr>
      <w:r>
        <w:t xml:space="preserve">             </w:t>
      </w:r>
      <w:r w:rsidR="001E6C83">
        <w:t xml:space="preserve"> Art.4.</w:t>
      </w:r>
      <w:r w:rsidR="001E6C83" w:rsidRPr="006277D2">
        <w:t xml:space="preserve">Lista actelor normative prin care sunt instituite impozitele </w:t>
      </w:r>
      <w:proofErr w:type="spellStart"/>
      <w:r w:rsidR="001E6C83" w:rsidRPr="006277D2">
        <w:t>şi</w:t>
      </w:r>
      <w:proofErr w:type="spellEnd"/>
      <w:r w:rsidR="001E6C83" w:rsidRPr="006277D2">
        <w:t xml:space="preserve"> taxele locale, inclusiv H.C.L. al municipiului Dej, prin care s-au instituit/stabilit impozite </w:t>
      </w:r>
      <w:proofErr w:type="spellStart"/>
      <w:r w:rsidR="001E6C83" w:rsidRPr="006277D2">
        <w:t>şi</w:t>
      </w:r>
      <w:proofErr w:type="spellEnd"/>
      <w:r w:rsidR="001E6C83" w:rsidRPr="006277D2">
        <w:t xml:space="preserve"> taxe locale pe o perioadă de 5 ani anteriori anului fiscal curent, este prevăzută în anexa nr.2.</w:t>
      </w:r>
    </w:p>
    <w:p w:rsidR="00946C7E" w:rsidRDefault="00AD6EC2" w:rsidP="00531C4A">
      <w:pPr>
        <w:jc w:val="both"/>
      </w:pPr>
      <w:r>
        <w:tab/>
        <w:t xml:space="preserve">  </w:t>
      </w:r>
      <w:r w:rsidR="001E6C83">
        <w:t>Art.5.</w:t>
      </w:r>
      <w:r w:rsidR="001E6C83" w:rsidRPr="006277D2">
        <w:t xml:space="preserve">Lista cuprinzând actele normative, inclusiv H.C.L. al municipiului Dej, în temeiul cărora s-au acordat </w:t>
      </w:r>
      <w:proofErr w:type="spellStart"/>
      <w:r w:rsidR="001E6C83" w:rsidRPr="006277D2">
        <w:t>facilităţi</w:t>
      </w:r>
      <w:proofErr w:type="spellEnd"/>
      <w:r w:rsidR="001E6C83" w:rsidRPr="006277D2">
        <w:t xml:space="preserve"> fiscale pe o perioadă de 5 ani anteriori anului fisca</w:t>
      </w:r>
      <w:r w:rsidR="00531C4A">
        <w:t>l, este prevăzută în anexa nr.3</w:t>
      </w:r>
      <w:r>
        <w:t xml:space="preserve"> </w:t>
      </w:r>
    </w:p>
    <w:p w:rsidR="00531C4A" w:rsidRDefault="00531C4A" w:rsidP="00531C4A">
      <w:pPr>
        <w:pStyle w:val="Corptext"/>
        <w:ind w:firstLine="561"/>
        <w:jc w:val="both"/>
      </w:pPr>
      <w:r>
        <w:t xml:space="preserve">    </w:t>
      </w:r>
      <w:r w:rsidR="001E6C83" w:rsidRPr="00A131E8">
        <w:t>Art.</w:t>
      </w:r>
      <w:r>
        <w:t>6</w:t>
      </w:r>
      <w:r w:rsidR="001E6C83" w:rsidRPr="00A131E8">
        <w:t xml:space="preserve"> - Anexele nr. 1-4 fac parte integrantă din prezenta Hotărâre.</w:t>
      </w:r>
    </w:p>
    <w:p w:rsidR="0061661E" w:rsidRDefault="00531C4A" w:rsidP="00531C4A">
      <w:pPr>
        <w:pStyle w:val="Corptext"/>
        <w:ind w:firstLine="561"/>
        <w:jc w:val="both"/>
      </w:pPr>
      <w:r>
        <w:t xml:space="preserve">   </w:t>
      </w:r>
      <w:r w:rsidR="00AD6EC2">
        <w:t>Art.</w:t>
      </w:r>
      <w:r>
        <w:t>7</w:t>
      </w:r>
      <w:r w:rsidR="0061661E">
        <w:t>. Prezenta hotărâre se completează cu prevederile Legii nr. 227/2015 privind Codul fiscal, cu modificările și completările ulterioare și ale Legii nr. 207/2015 privind Codul de procedură fiscală, cu</w:t>
      </w:r>
      <w:r w:rsidR="0061661E" w:rsidRPr="0061661E">
        <w:t xml:space="preserve"> </w:t>
      </w:r>
      <w:r w:rsidR="0061661E">
        <w:t>modificările și completările ulterioare, precum și cu actele normative subsecvente în vigoare.</w:t>
      </w:r>
    </w:p>
    <w:p w:rsidR="0061661E" w:rsidRDefault="00531C4A" w:rsidP="00D24582">
      <w:pPr>
        <w:pStyle w:val="Corptext"/>
        <w:ind w:firstLine="561"/>
        <w:jc w:val="both"/>
      </w:pPr>
      <w:r>
        <w:t xml:space="preserve">    </w:t>
      </w:r>
      <w:r w:rsidR="00AD6EC2">
        <w:t>Art.</w:t>
      </w:r>
      <w:r>
        <w:t>8</w:t>
      </w:r>
      <w:r w:rsidR="0061661E">
        <w:t>. Secretarul General al Municipiului Dej va asigura comunicarea prezentei Hotărâri autorităților și persoanelor interesate pentru ducerea la îndeplinire a prevederilor sale.</w:t>
      </w:r>
    </w:p>
    <w:p w:rsidR="00B66BAD" w:rsidRDefault="00B66BAD" w:rsidP="00D24582">
      <w:pPr>
        <w:pStyle w:val="Corptext"/>
        <w:ind w:firstLine="561"/>
        <w:jc w:val="both"/>
      </w:pPr>
    </w:p>
    <w:p w:rsidR="00B66BAD" w:rsidRPr="00617B4C" w:rsidRDefault="00B66BAD" w:rsidP="00D24582">
      <w:pPr>
        <w:pStyle w:val="Corptext"/>
        <w:ind w:firstLine="561"/>
        <w:jc w:val="both"/>
      </w:pPr>
    </w:p>
    <w:p w:rsidR="000C5F43" w:rsidRPr="0061661E" w:rsidRDefault="0061661E" w:rsidP="0061661E">
      <w:pPr>
        <w:pStyle w:val="Indentcorptext2"/>
        <w:spacing w:line="240" w:lineRule="auto"/>
        <w:ind w:left="0"/>
      </w:pPr>
      <w:r>
        <w:rPr>
          <w:b/>
        </w:rPr>
        <w:t xml:space="preserve">             </w:t>
      </w:r>
      <w:r w:rsidRPr="0061661E">
        <w:t xml:space="preserve">Vizat pentru legalitate                                                                       </w:t>
      </w:r>
      <w:r w:rsidR="00886AD1">
        <w:t>Inițiator</w:t>
      </w:r>
      <w:r w:rsidR="000C5F43" w:rsidRPr="0061661E">
        <w:t>,</w:t>
      </w:r>
    </w:p>
    <w:p w:rsidR="00886AD1" w:rsidRDefault="0061661E" w:rsidP="0061661E">
      <w:pPr>
        <w:pStyle w:val="Indentcorptext2"/>
        <w:spacing w:line="240" w:lineRule="auto"/>
      </w:pPr>
      <w:r w:rsidRPr="0061661E">
        <w:t xml:space="preserve">Secretarul General al Municipiului Dej   </w:t>
      </w:r>
      <w:r w:rsidR="00886AD1">
        <w:t xml:space="preserve">                                     Primarul Municipiului Dej</w:t>
      </w:r>
      <w:r w:rsidRPr="0061661E">
        <w:t xml:space="preserve">                          </w:t>
      </w:r>
      <w:r>
        <w:t xml:space="preserve">           </w:t>
      </w:r>
      <w:r w:rsidRPr="0061661E">
        <w:t xml:space="preserve"> </w:t>
      </w:r>
      <w:r w:rsidR="008A165A" w:rsidRPr="0061661E">
        <w:t xml:space="preserve"> </w:t>
      </w:r>
    </w:p>
    <w:p w:rsidR="00D24582" w:rsidRPr="0061661E" w:rsidRDefault="00886AD1" w:rsidP="0061661E">
      <w:pPr>
        <w:pStyle w:val="Indentcorptext2"/>
        <w:spacing w:line="240" w:lineRule="auto"/>
      </w:pPr>
      <w:r>
        <w:t xml:space="preserve">         Pop Cristina Sabina                                                                      </w:t>
      </w:r>
      <w:r w:rsidR="008A165A" w:rsidRPr="0061661E">
        <w:t xml:space="preserve">Ing. </w:t>
      </w:r>
      <w:r w:rsidR="00640E82" w:rsidRPr="0061661E">
        <w:t>Morar</w:t>
      </w:r>
      <w:r w:rsidR="008F77B9" w:rsidRPr="0061661E">
        <w:t xml:space="preserve"> </w:t>
      </w:r>
      <w:proofErr w:type="spellStart"/>
      <w:r w:rsidR="008F77B9" w:rsidRPr="0061661E">
        <w:t>Costan</w:t>
      </w:r>
      <w:proofErr w:type="spellEnd"/>
    </w:p>
    <w:p w:rsidR="00D24582" w:rsidRDefault="00D24582" w:rsidP="00D24582">
      <w:pPr>
        <w:pStyle w:val="Indentcorptext2"/>
        <w:spacing w:line="240" w:lineRule="auto"/>
        <w:jc w:val="center"/>
        <w:rPr>
          <w:b/>
        </w:rPr>
      </w:pPr>
    </w:p>
    <w:p w:rsidR="00D24582" w:rsidRDefault="00D24582" w:rsidP="00D24582">
      <w:pPr>
        <w:pStyle w:val="Indentcorptext2"/>
        <w:spacing w:line="240" w:lineRule="auto"/>
        <w:jc w:val="center"/>
        <w:rPr>
          <w:b/>
        </w:rPr>
      </w:pPr>
    </w:p>
    <w:p w:rsidR="00D1640E" w:rsidRPr="00303547" w:rsidRDefault="00D1640E">
      <w:pPr>
        <w:pStyle w:val="Indentcorptext2"/>
        <w:spacing w:line="240" w:lineRule="auto"/>
        <w:jc w:val="center"/>
        <w:rPr>
          <w:b/>
        </w:rPr>
      </w:pPr>
    </w:p>
    <w:sectPr w:rsidR="00D1640E" w:rsidRPr="00303547" w:rsidSect="000C5F43">
      <w:footerReference w:type="even" r:id="rId9"/>
      <w:footerReference w:type="default" r:id="rId10"/>
      <w:pgSz w:w="11907" w:h="16840" w:code="9"/>
      <w:pgMar w:top="851" w:right="851" w:bottom="851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9C" w:rsidRDefault="00CD719C">
      <w:r>
        <w:separator/>
      </w:r>
    </w:p>
  </w:endnote>
  <w:endnote w:type="continuationSeparator" w:id="0">
    <w:p w:rsidR="00CD719C" w:rsidRDefault="00CD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6C" w:rsidRDefault="00ED42D6" w:rsidP="00907E81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45A6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45A6C" w:rsidRDefault="00745A6C" w:rsidP="00907E81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6C" w:rsidRDefault="00ED42D6" w:rsidP="00907E81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45A6C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402D68">
      <w:rPr>
        <w:rStyle w:val="Numrdepagin"/>
        <w:noProof/>
      </w:rPr>
      <w:t>2</w:t>
    </w:r>
    <w:r>
      <w:rPr>
        <w:rStyle w:val="Numrdepagin"/>
      </w:rPr>
      <w:fldChar w:fldCharType="end"/>
    </w:r>
  </w:p>
  <w:p w:rsidR="00745A6C" w:rsidRDefault="00745A6C" w:rsidP="00907E8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9C" w:rsidRDefault="00CD719C">
      <w:r>
        <w:separator/>
      </w:r>
    </w:p>
  </w:footnote>
  <w:footnote w:type="continuationSeparator" w:id="0">
    <w:p w:rsidR="00CD719C" w:rsidRDefault="00CD7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F026919"/>
    <w:multiLevelType w:val="hybridMultilevel"/>
    <w:tmpl w:val="167604BA"/>
    <w:lvl w:ilvl="0" w:tplc="517ECE5C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1" w:hanging="360"/>
      </w:pPr>
    </w:lvl>
    <w:lvl w:ilvl="2" w:tplc="0418001B" w:tentative="1">
      <w:start w:val="1"/>
      <w:numFmt w:val="lowerRoman"/>
      <w:lvlText w:val="%3."/>
      <w:lvlJc w:val="right"/>
      <w:pPr>
        <w:ind w:left="2361" w:hanging="180"/>
      </w:pPr>
    </w:lvl>
    <w:lvl w:ilvl="3" w:tplc="0418000F" w:tentative="1">
      <w:start w:val="1"/>
      <w:numFmt w:val="decimal"/>
      <w:lvlText w:val="%4."/>
      <w:lvlJc w:val="left"/>
      <w:pPr>
        <w:ind w:left="3081" w:hanging="360"/>
      </w:pPr>
    </w:lvl>
    <w:lvl w:ilvl="4" w:tplc="04180019" w:tentative="1">
      <w:start w:val="1"/>
      <w:numFmt w:val="lowerLetter"/>
      <w:lvlText w:val="%5."/>
      <w:lvlJc w:val="left"/>
      <w:pPr>
        <w:ind w:left="3801" w:hanging="360"/>
      </w:pPr>
    </w:lvl>
    <w:lvl w:ilvl="5" w:tplc="0418001B" w:tentative="1">
      <w:start w:val="1"/>
      <w:numFmt w:val="lowerRoman"/>
      <w:lvlText w:val="%6."/>
      <w:lvlJc w:val="right"/>
      <w:pPr>
        <w:ind w:left="4521" w:hanging="180"/>
      </w:pPr>
    </w:lvl>
    <w:lvl w:ilvl="6" w:tplc="0418000F" w:tentative="1">
      <w:start w:val="1"/>
      <w:numFmt w:val="decimal"/>
      <w:lvlText w:val="%7."/>
      <w:lvlJc w:val="left"/>
      <w:pPr>
        <w:ind w:left="5241" w:hanging="360"/>
      </w:pPr>
    </w:lvl>
    <w:lvl w:ilvl="7" w:tplc="04180019" w:tentative="1">
      <w:start w:val="1"/>
      <w:numFmt w:val="lowerLetter"/>
      <w:lvlText w:val="%8."/>
      <w:lvlJc w:val="left"/>
      <w:pPr>
        <w:ind w:left="5961" w:hanging="360"/>
      </w:pPr>
    </w:lvl>
    <w:lvl w:ilvl="8" w:tplc="0418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81"/>
    <w:rsid w:val="000032F0"/>
    <w:rsid w:val="00027641"/>
    <w:rsid w:val="00031497"/>
    <w:rsid w:val="00033C20"/>
    <w:rsid w:val="00035044"/>
    <w:rsid w:val="00041125"/>
    <w:rsid w:val="00054252"/>
    <w:rsid w:val="00054BD2"/>
    <w:rsid w:val="0008242F"/>
    <w:rsid w:val="0008750B"/>
    <w:rsid w:val="0009453F"/>
    <w:rsid w:val="0009755B"/>
    <w:rsid w:val="000B2F23"/>
    <w:rsid w:val="000C521B"/>
    <w:rsid w:val="000C5F43"/>
    <w:rsid w:val="000D3408"/>
    <w:rsid w:val="000D5232"/>
    <w:rsid w:val="000E196E"/>
    <w:rsid w:val="000E3BC2"/>
    <w:rsid w:val="001006B0"/>
    <w:rsid w:val="00137A6C"/>
    <w:rsid w:val="00145C40"/>
    <w:rsid w:val="00146FFF"/>
    <w:rsid w:val="00181173"/>
    <w:rsid w:val="0018306A"/>
    <w:rsid w:val="00195619"/>
    <w:rsid w:val="0019798F"/>
    <w:rsid w:val="001A4F53"/>
    <w:rsid w:val="001B2A3C"/>
    <w:rsid w:val="001E6C83"/>
    <w:rsid w:val="001E6D26"/>
    <w:rsid w:val="00201CCC"/>
    <w:rsid w:val="00211FA0"/>
    <w:rsid w:val="00214D5C"/>
    <w:rsid w:val="00217B02"/>
    <w:rsid w:val="00221533"/>
    <w:rsid w:val="0022222F"/>
    <w:rsid w:val="00224499"/>
    <w:rsid w:val="00224E83"/>
    <w:rsid w:val="00227B88"/>
    <w:rsid w:val="002364B5"/>
    <w:rsid w:val="00241442"/>
    <w:rsid w:val="00251FFD"/>
    <w:rsid w:val="0025349A"/>
    <w:rsid w:val="002571A4"/>
    <w:rsid w:val="00273C76"/>
    <w:rsid w:val="00286EFF"/>
    <w:rsid w:val="00290BEC"/>
    <w:rsid w:val="0029208F"/>
    <w:rsid w:val="002C0586"/>
    <w:rsid w:val="002E4E94"/>
    <w:rsid w:val="00301D7F"/>
    <w:rsid w:val="00303547"/>
    <w:rsid w:val="003048EA"/>
    <w:rsid w:val="00321E31"/>
    <w:rsid w:val="003244C6"/>
    <w:rsid w:val="00353A14"/>
    <w:rsid w:val="0035498C"/>
    <w:rsid w:val="003569A0"/>
    <w:rsid w:val="003571D8"/>
    <w:rsid w:val="003878DF"/>
    <w:rsid w:val="003A35D0"/>
    <w:rsid w:val="003A52DD"/>
    <w:rsid w:val="003B25E2"/>
    <w:rsid w:val="003C1CE6"/>
    <w:rsid w:val="003C7F50"/>
    <w:rsid w:val="003D5724"/>
    <w:rsid w:val="003D68B5"/>
    <w:rsid w:val="003D776E"/>
    <w:rsid w:val="003F10DA"/>
    <w:rsid w:val="003F746B"/>
    <w:rsid w:val="00401071"/>
    <w:rsid w:val="00402D68"/>
    <w:rsid w:val="00404407"/>
    <w:rsid w:val="00424130"/>
    <w:rsid w:val="0045082A"/>
    <w:rsid w:val="0045548C"/>
    <w:rsid w:val="00460952"/>
    <w:rsid w:val="004611DF"/>
    <w:rsid w:val="0046351B"/>
    <w:rsid w:val="00466DAB"/>
    <w:rsid w:val="004705F6"/>
    <w:rsid w:val="00471552"/>
    <w:rsid w:val="00477464"/>
    <w:rsid w:val="0049334B"/>
    <w:rsid w:val="00497F2A"/>
    <w:rsid w:val="004A490E"/>
    <w:rsid w:val="004E41C8"/>
    <w:rsid w:val="004E6121"/>
    <w:rsid w:val="00531C4A"/>
    <w:rsid w:val="00572D9E"/>
    <w:rsid w:val="005765AE"/>
    <w:rsid w:val="0058658A"/>
    <w:rsid w:val="005959F1"/>
    <w:rsid w:val="005C3FAA"/>
    <w:rsid w:val="005C49B5"/>
    <w:rsid w:val="00600154"/>
    <w:rsid w:val="00601E6F"/>
    <w:rsid w:val="0061661E"/>
    <w:rsid w:val="00617B4C"/>
    <w:rsid w:val="006348CC"/>
    <w:rsid w:val="00640E82"/>
    <w:rsid w:val="00641D30"/>
    <w:rsid w:val="00645481"/>
    <w:rsid w:val="00664229"/>
    <w:rsid w:val="006729A8"/>
    <w:rsid w:val="00673FA4"/>
    <w:rsid w:val="00674D3B"/>
    <w:rsid w:val="00685039"/>
    <w:rsid w:val="0069311D"/>
    <w:rsid w:val="006B318F"/>
    <w:rsid w:val="006C1B6E"/>
    <w:rsid w:val="006D75FD"/>
    <w:rsid w:val="006F7114"/>
    <w:rsid w:val="007006BB"/>
    <w:rsid w:val="007062AC"/>
    <w:rsid w:val="00706A39"/>
    <w:rsid w:val="007139EC"/>
    <w:rsid w:val="0071518D"/>
    <w:rsid w:val="007365F4"/>
    <w:rsid w:val="00740323"/>
    <w:rsid w:val="00745A6C"/>
    <w:rsid w:val="0075401F"/>
    <w:rsid w:val="007548C9"/>
    <w:rsid w:val="0075619B"/>
    <w:rsid w:val="00766DE6"/>
    <w:rsid w:val="00770ADC"/>
    <w:rsid w:val="00783DC3"/>
    <w:rsid w:val="007905BF"/>
    <w:rsid w:val="007A6610"/>
    <w:rsid w:val="007D2102"/>
    <w:rsid w:val="007D2FAA"/>
    <w:rsid w:val="007E482D"/>
    <w:rsid w:val="007F1638"/>
    <w:rsid w:val="007F4671"/>
    <w:rsid w:val="00804003"/>
    <w:rsid w:val="00804891"/>
    <w:rsid w:val="008145BB"/>
    <w:rsid w:val="00816CC4"/>
    <w:rsid w:val="00837EA1"/>
    <w:rsid w:val="008607B8"/>
    <w:rsid w:val="00871D3B"/>
    <w:rsid w:val="00886AD1"/>
    <w:rsid w:val="008A165A"/>
    <w:rsid w:val="008A557F"/>
    <w:rsid w:val="008B73BD"/>
    <w:rsid w:val="008C3FD7"/>
    <w:rsid w:val="008C5769"/>
    <w:rsid w:val="008E019C"/>
    <w:rsid w:val="008F6D70"/>
    <w:rsid w:val="008F77B9"/>
    <w:rsid w:val="00900BA0"/>
    <w:rsid w:val="00907E81"/>
    <w:rsid w:val="0092356A"/>
    <w:rsid w:val="009306B6"/>
    <w:rsid w:val="0093212B"/>
    <w:rsid w:val="00946C7E"/>
    <w:rsid w:val="00961A7B"/>
    <w:rsid w:val="00964032"/>
    <w:rsid w:val="0096511E"/>
    <w:rsid w:val="0097723A"/>
    <w:rsid w:val="009950A0"/>
    <w:rsid w:val="009A5CD1"/>
    <w:rsid w:val="009D2B85"/>
    <w:rsid w:val="009D33C6"/>
    <w:rsid w:val="009E1D3F"/>
    <w:rsid w:val="009E4E65"/>
    <w:rsid w:val="009F7800"/>
    <w:rsid w:val="00A252A9"/>
    <w:rsid w:val="00A4484A"/>
    <w:rsid w:val="00A5252A"/>
    <w:rsid w:val="00A851D8"/>
    <w:rsid w:val="00A90A86"/>
    <w:rsid w:val="00A90EC9"/>
    <w:rsid w:val="00A92590"/>
    <w:rsid w:val="00A9297D"/>
    <w:rsid w:val="00AA2EFC"/>
    <w:rsid w:val="00AA4FDB"/>
    <w:rsid w:val="00AB41F3"/>
    <w:rsid w:val="00AB4777"/>
    <w:rsid w:val="00AB64CC"/>
    <w:rsid w:val="00AC7E15"/>
    <w:rsid w:val="00AD16C4"/>
    <w:rsid w:val="00AD3E0D"/>
    <w:rsid w:val="00AD6EC2"/>
    <w:rsid w:val="00AF033D"/>
    <w:rsid w:val="00AF7A28"/>
    <w:rsid w:val="00AF7B9A"/>
    <w:rsid w:val="00B0455C"/>
    <w:rsid w:val="00B173C0"/>
    <w:rsid w:val="00B32255"/>
    <w:rsid w:val="00B36FBF"/>
    <w:rsid w:val="00B41D13"/>
    <w:rsid w:val="00B47A18"/>
    <w:rsid w:val="00B60AA7"/>
    <w:rsid w:val="00B6616F"/>
    <w:rsid w:val="00B664A2"/>
    <w:rsid w:val="00B66BAD"/>
    <w:rsid w:val="00B840C7"/>
    <w:rsid w:val="00BA7CFC"/>
    <w:rsid w:val="00BB3AA1"/>
    <w:rsid w:val="00BC1DFD"/>
    <w:rsid w:val="00BC224C"/>
    <w:rsid w:val="00BC4C5A"/>
    <w:rsid w:val="00BE2277"/>
    <w:rsid w:val="00C13606"/>
    <w:rsid w:val="00C14A12"/>
    <w:rsid w:val="00C2474D"/>
    <w:rsid w:val="00C26E89"/>
    <w:rsid w:val="00C354E1"/>
    <w:rsid w:val="00C44AD1"/>
    <w:rsid w:val="00C45DB5"/>
    <w:rsid w:val="00C57CB0"/>
    <w:rsid w:val="00C65510"/>
    <w:rsid w:val="00C80120"/>
    <w:rsid w:val="00C82879"/>
    <w:rsid w:val="00C82BBE"/>
    <w:rsid w:val="00CA7D88"/>
    <w:rsid w:val="00CB2108"/>
    <w:rsid w:val="00CC2CA2"/>
    <w:rsid w:val="00CC4396"/>
    <w:rsid w:val="00CC505F"/>
    <w:rsid w:val="00CC59B2"/>
    <w:rsid w:val="00CD719C"/>
    <w:rsid w:val="00CD7781"/>
    <w:rsid w:val="00CE0277"/>
    <w:rsid w:val="00CF12D2"/>
    <w:rsid w:val="00CF6935"/>
    <w:rsid w:val="00D12EB2"/>
    <w:rsid w:val="00D1640E"/>
    <w:rsid w:val="00D24582"/>
    <w:rsid w:val="00D5537F"/>
    <w:rsid w:val="00D63838"/>
    <w:rsid w:val="00D63DA3"/>
    <w:rsid w:val="00D63F8F"/>
    <w:rsid w:val="00D742DB"/>
    <w:rsid w:val="00D81BBA"/>
    <w:rsid w:val="00D81DC4"/>
    <w:rsid w:val="00DB5C6D"/>
    <w:rsid w:val="00DB7B6E"/>
    <w:rsid w:val="00DC66C6"/>
    <w:rsid w:val="00DE16C4"/>
    <w:rsid w:val="00DF5E37"/>
    <w:rsid w:val="00E124F5"/>
    <w:rsid w:val="00E13014"/>
    <w:rsid w:val="00E152DC"/>
    <w:rsid w:val="00E5566F"/>
    <w:rsid w:val="00E71450"/>
    <w:rsid w:val="00E804EB"/>
    <w:rsid w:val="00E867BB"/>
    <w:rsid w:val="00EB5350"/>
    <w:rsid w:val="00EB6EFC"/>
    <w:rsid w:val="00EC09E5"/>
    <w:rsid w:val="00EC1C38"/>
    <w:rsid w:val="00ED38F6"/>
    <w:rsid w:val="00ED3AF9"/>
    <w:rsid w:val="00ED3F86"/>
    <w:rsid w:val="00ED42D6"/>
    <w:rsid w:val="00EE4BC8"/>
    <w:rsid w:val="00F01CAC"/>
    <w:rsid w:val="00F13D3E"/>
    <w:rsid w:val="00F44B0B"/>
    <w:rsid w:val="00F45EA1"/>
    <w:rsid w:val="00F47A8F"/>
    <w:rsid w:val="00F576FE"/>
    <w:rsid w:val="00F62C60"/>
    <w:rsid w:val="00F91D42"/>
    <w:rsid w:val="00FA19C5"/>
    <w:rsid w:val="00FB60E3"/>
    <w:rsid w:val="00FC230E"/>
    <w:rsid w:val="00FD1BCF"/>
    <w:rsid w:val="00FD2E4B"/>
    <w:rsid w:val="00FD5C67"/>
    <w:rsid w:val="00FE1AC3"/>
    <w:rsid w:val="00FE24E6"/>
    <w:rsid w:val="00FE3B28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74BD0C-9ADC-4A2B-A6F0-90C75558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1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qFormat/>
    <w:rsid w:val="00907E81"/>
    <w:rPr>
      <w:b/>
      <w:bCs/>
    </w:rPr>
  </w:style>
  <w:style w:type="paragraph" w:styleId="Subsol">
    <w:name w:val="footer"/>
    <w:basedOn w:val="Normal"/>
    <w:rsid w:val="00907E81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907E81"/>
  </w:style>
  <w:style w:type="paragraph" w:styleId="Indentcorptext3">
    <w:name w:val="Body Text Indent 3"/>
    <w:basedOn w:val="Normal"/>
    <w:rsid w:val="00907E81"/>
    <w:pPr>
      <w:ind w:firstLine="1080"/>
      <w:jc w:val="both"/>
    </w:pPr>
    <w:rPr>
      <w:rFonts w:ascii="Arial" w:hAnsi="Arial"/>
      <w:sz w:val="22"/>
      <w:szCs w:val="20"/>
    </w:rPr>
  </w:style>
  <w:style w:type="paragraph" w:customStyle="1" w:styleId="NormalWeb1">
    <w:name w:val="Normal (Web)1"/>
    <w:basedOn w:val="Normal"/>
    <w:rsid w:val="00907E81"/>
    <w:rPr>
      <w:rFonts w:ascii="Trebuchet MS" w:hAnsi="Trebuchet MS"/>
      <w:color w:val="000000"/>
      <w:sz w:val="18"/>
      <w:szCs w:val="20"/>
    </w:rPr>
  </w:style>
  <w:style w:type="paragraph" w:styleId="Corptext">
    <w:name w:val="Body Text"/>
    <w:basedOn w:val="Normal"/>
    <w:rsid w:val="00907E81"/>
    <w:pPr>
      <w:spacing w:after="120"/>
    </w:pPr>
  </w:style>
  <w:style w:type="paragraph" w:styleId="Indentcorptext2">
    <w:name w:val="Body Text Indent 2"/>
    <w:basedOn w:val="Normal"/>
    <w:rsid w:val="00907E81"/>
    <w:pPr>
      <w:spacing w:after="120" w:line="480" w:lineRule="auto"/>
      <w:ind w:left="360"/>
    </w:pPr>
  </w:style>
  <w:style w:type="paragraph" w:styleId="Antet">
    <w:name w:val="header"/>
    <w:basedOn w:val="Normal"/>
    <w:rsid w:val="00907E81"/>
    <w:pPr>
      <w:tabs>
        <w:tab w:val="center" w:pos="4536"/>
        <w:tab w:val="right" w:pos="9072"/>
      </w:tabs>
    </w:pPr>
    <w:rPr>
      <w:rFonts w:ascii="Bookman Old Style" w:hAnsi="Bookman Old Style"/>
      <w:szCs w:val="20"/>
    </w:rPr>
  </w:style>
  <w:style w:type="character" w:styleId="Hyperlink">
    <w:name w:val="Hyperlink"/>
    <w:basedOn w:val="Fontdeparagrafimplicit"/>
    <w:rsid w:val="00907E81"/>
    <w:rPr>
      <w:color w:val="0000FF"/>
      <w:u w:val="single"/>
    </w:rPr>
  </w:style>
  <w:style w:type="table" w:styleId="Tabelgril">
    <w:name w:val="Table Grid"/>
    <w:basedOn w:val="TabelNormal"/>
    <w:rsid w:val="0090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6348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6348C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6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dej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784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Primăria Municipiului Dej</Company>
  <LinksUpToDate>false</LinksUpToDate>
  <CharactersWithSpaces>5324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Alexandru.Pop</dc:creator>
  <cp:keywords/>
  <cp:lastModifiedBy>Marius.Bogdan</cp:lastModifiedBy>
  <cp:revision>23</cp:revision>
  <cp:lastPrinted>2025-12-12T07:12:00Z</cp:lastPrinted>
  <dcterms:created xsi:type="dcterms:W3CDTF">2025-11-27T11:44:00Z</dcterms:created>
  <dcterms:modified xsi:type="dcterms:W3CDTF">2025-12-12T07:15:00Z</dcterms:modified>
</cp:coreProperties>
</file>