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607" w14:textId="77777777" w:rsidR="003D13EA" w:rsidRPr="001643A7" w:rsidRDefault="003D13EA" w:rsidP="007E5A4F">
      <w:pPr>
        <w:spacing w:after="0" w:line="240" w:lineRule="auto"/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3F5261C1" w14:textId="77777777" w:rsidR="003D13EA" w:rsidRDefault="003D13EA" w:rsidP="007E5A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567D0294" w14:textId="77777777" w:rsidR="003D13EA" w:rsidRPr="001643A7" w:rsidRDefault="003D13EA" w:rsidP="007E5A4F">
      <w:pPr>
        <w:spacing w:after="0" w:line="240" w:lineRule="auto"/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6E5CD5C6" w14:textId="7A81F41A" w:rsidR="007E5A4F" w:rsidRPr="007E5A4F" w:rsidRDefault="003D13EA" w:rsidP="007E5A4F">
      <w:pPr>
        <w:spacing w:after="0" w:line="240" w:lineRule="auto"/>
        <w:rPr>
          <w:rFonts w:ascii="Tahoma" w:hAnsi="Tahoma" w:cs="Tahoma"/>
          <w:color w:val="0000FF"/>
          <w:u w:val="single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5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59D5F0FF" w14:textId="7318EBFF" w:rsidR="003D13EA" w:rsidRDefault="003D13EA" w:rsidP="007E5A4F">
      <w:pPr>
        <w:spacing w:after="0" w:line="240" w:lineRule="auto"/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>Nr.</w:t>
      </w:r>
      <w:r w:rsidR="00D044ED">
        <w:rPr>
          <w:rFonts w:ascii="Tahoma" w:hAnsi="Tahoma" w:cs="Tahoma"/>
          <w:b/>
        </w:rPr>
        <w:t xml:space="preserve"> 3625 din 08. II. 2022</w:t>
      </w:r>
    </w:p>
    <w:p w14:paraId="2025AF09" w14:textId="77777777" w:rsidR="007E5A4F" w:rsidRDefault="007E5A4F" w:rsidP="007E5A4F">
      <w:pPr>
        <w:spacing w:after="0" w:line="240" w:lineRule="auto"/>
        <w:rPr>
          <w:rFonts w:ascii="Tahoma" w:hAnsi="Tahoma" w:cs="Tahoma"/>
          <w:b/>
        </w:rPr>
      </w:pPr>
    </w:p>
    <w:p w14:paraId="7F8B5959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1FEFAF0F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491B9283" w14:textId="77777777" w:rsidR="003D13EA" w:rsidRDefault="003D13EA" w:rsidP="007E5A4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41D0910B" w14:textId="2B82BCD4" w:rsidR="003D13EA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D9FF" w14:textId="09C1E255" w:rsidR="00D044ED" w:rsidRDefault="00D044ED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4906C" w14:textId="77777777" w:rsidR="00D044ED" w:rsidRDefault="00D044ED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2A96" w14:textId="18B14F4C" w:rsidR="003D13EA" w:rsidRPr="00B0568B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0568B">
        <w:rPr>
          <w:rFonts w:ascii="Tahoma" w:hAnsi="Tahoma" w:cs="Tahoma"/>
          <w:b/>
          <w:bCs/>
          <w:sz w:val="28"/>
          <w:szCs w:val="28"/>
          <w:u w:val="single"/>
        </w:rPr>
        <w:t xml:space="preserve">RAPORT </w:t>
      </w:r>
      <w:r w:rsidR="007E5A4F">
        <w:rPr>
          <w:rFonts w:ascii="Tahoma" w:hAnsi="Tahoma" w:cs="Tahoma"/>
          <w:b/>
          <w:bCs/>
          <w:sz w:val="28"/>
          <w:szCs w:val="28"/>
          <w:u w:val="single"/>
        </w:rPr>
        <w:t>ANUAL</w:t>
      </w:r>
    </w:p>
    <w:p w14:paraId="44E0BBD7" w14:textId="77777777" w:rsidR="007E5A4F" w:rsidRDefault="003D13EA" w:rsidP="003D13EA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D0124E">
        <w:rPr>
          <w:rFonts w:ascii="Tahoma" w:hAnsi="Tahoma" w:cs="Tahoma"/>
          <w:b/>
          <w:bCs/>
          <w:sz w:val="28"/>
          <w:szCs w:val="28"/>
        </w:rPr>
        <w:t>Privind sprijinul financiar pentru unitățile de cult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85C562E" w14:textId="05263A5A" w:rsidR="003D13EA" w:rsidRPr="00D044ED" w:rsidRDefault="003D13EA" w:rsidP="00D044E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din Municipiul Dej</w:t>
      </w:r>
      <w:r w:rsidR="007E5A4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2163D">
        <w:rPr>
          <w:rFonts w:ascii="Tahoma" w:hAnsi="Tahoma" w:cs="Tahoma"/>
          <w:b/>
          <w:bCs/>
          <w:sz w:val="28"/>
          <w:szCs w:val="28"/>
        </w:rPr>
        <w:t xml:space="preserve">în anul </w:t>
      </w:r>
      <w:r w:rsidR="007E5A4F">
        <w:rPr>
          <w:rFonts w:ascii="Tahoma" w:hAnsi="Tahoma" w:cs="Tahoma"/>
          <w:b/>
          <w:bCs/>
          <w:sz w:val="28"/>
          <w:szCs w:val="28"/>
        </w:rPr>
        <w:t>2021</w:t>
      </w:r>
    </w:p>
    <w:p w14:paraId="7962E5C5" w14:textId="77777777" w:rsidR="003D13EA" w:rsidRPr="00B0568B" w:rsidRDefault="003D13EA" w:rsidP="003D13EA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Având în vedere reglementările legale privind sprijinul financiar pentru unitățile de cult din România:</w:t>
      </w:r>
    </w:p>
    <w:p w14:paraId="6215A635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O.G. 82/2001 privind stabilirea unei forme de sprijin financiar pentru unitățile de cult aparținând cultelor religioase din România, aprobată cu modificările și completările ulterioare prin Legea nr. 125/2002</w:t>
      </w:r>
    </w:p>
    <w:p w14:paraId="739631F7" w14:textId="77777777" w:rsidR="003D13EA" w:rsidRPr="00B0568B" w:rsidRDefault="003D13EA" w:rsidP="003D13EA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H.G. nr. 1470/2002 privind aprobarea Normelor metodologice pentru aplicarea prevederilor O.G. nr. 82/2001, cu modificările și completările ulterioare.</w:t>
      </w:r>
    </w:p>
    <w:p w14:paraId="1B6E4C92" w14:textId="76EB7A51" w:rsidR="003D13EA" w:rsidRPr="00992BDD" w:rsidRDefault="003D13EA" w:rsidP="00992BDD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 xml:space="preserve">Și dispoziția primarului Municipiului Dej nr. 890/27.04.2021 privind numirea comisiei pentru evaluarea și selecția cererilor de sprijin financiar pentru cultele religioase din municipiul Dej, </w:t>
      </w:r>
      <w:r w:rsidR="007E5A4F" w:rsidRPr="007E5A4F">
        <w:rPr>
          <w:rFonts w:ascii="Tahoma" w:hAnsi="Tahoma" w:cs="Tahoma"/>
          <w:sz w:val="24"/>
          <w:szCs w:val="24"/>
        </w:rPr>
        <w:t>publică Raportul anual privind beneficiarii finanțărilor nerambursabile în anul 2021, denumirea proiectelor și rezultatul acestora</w:t>
      </w:r>
      <w:r w:rsidR="00992BDD">
        <w:rPr>
          <w:rFonts w:ascii="Tahoma" w:hAnsi="Tahoma" w:cs="Tahoma"/>
          <w:sz w:val="24"/>
          <w:szCs w:val="24"/>
        </w:rPr>
        <w:t>.</w:t>
      </w:r>
    </w:p>
    <w:tbl>
      <w:tblPr>
        <w:tblStyle w:val="Tabelgril"/>
        <w:tblW w:w="10632" w:type="dxa"/>
        <w:tblInd w:w="-714" w:type="dxa"/>
        <w:tblLook w:val="04A0" w:firstRow="1" w:lastRow="0" w:firstColumn="1" w:lastColumn="0" w:noHBand="0" w:noVBand="1"/>
      </w:tblPr>
      <w:tblGrid>
        <w:gridCol w:w="1404"/>
        <w:gridCol w:w="3325"/>
        <w:gridCol w:w="2359"/>
        <w:gridCol w:w="1701"/>
        <w:gridCol w:w="1843"/>
      </w:tblGrid>
      <w:tr w:rsidR="00992BDD" w:rsidRPr="00992BDD" w14:paraId="3F84BD7A" w14:textId="481B5CA1" w:rsidTr="005C437C">
        <w:tc>
          <w:tcPr>
            <w:tcW w:w="1404" w:type="dxa"/>
          </w:tcPr>
          <w:p w14:paraId="717C3C20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3325" w:type="dxa"/>
          </w:tcPr>
          <w:p w14:paraId="461B9594" w14:textId="1C31655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Unitatea de cult beneficiară</w:t>
            </w:r>
          </w:p>
        </w:tc>
        <w:tc>
          <w:tcPr>
            <w:tcW w:w="2359" w:type="dxa"/>
          </w:tcPr>
          <w:p w14:paraId="23C048E8" w14:textId="77777777" w:rsidR="00992BDD" w:rsidRPr="00992BDD" w:rsidRDefault="00992BDD" w:rsidP="00992B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Denumire</w:t>
            </w:r>
          </w:p>
          <w:p w14:paraId="557478CA" w14:textId="31B1CCCB" w:rsidR="00992BDD" w:rsidRPr="00992BDD" w:rsidRDefault="00992BDD" w:rsidP="00992B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proiect</w:t>
            </w:r>
          </w:p>
        </w:tc>
        <w:tc>
          <w:tcPr>
            <w:tcW w:w="1701" w:type="dxa"/>
          </w:tcPr>
          <w:p w14:paraId="2B4635A5" w14:textId="4AB62D9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Sumă alocată</w:t>
            </w:r>
          </w:p>
        </w:tc>
        <w:tc>
          <w:tcPr>
            <w:tcW w:w="1843" w:type="dxa"/>
          </w:tcPr>
          <w:p w14:paraId="5CBD74A3" w14:textId="2C773BAD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Rezultate</w:t>
            </w:r>
          </w:p>
        </w:tc>
      </w:tr>
      <w:tr w:rsidR="00992BDD" w:rsidRPr="00992BDD" w14:paraId="1CFCDA4C" w14:textId="6B307D7C" w:rsidTr="005C437C">
        <w:tc>
          <w:tcPr>
            <w:tcW w:w="1404" w:type="dxa"/>
          </w:tcPr>
          <w:p w14:paraId="6265D68C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5" w:type="dxa"/>
          </w:tcPr>
          <w:p w14:paraId="77E4A1E8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III Sf. Treime (Dealul Florilor)</w:t>
            </w:r>
          </w:p>
        </w:tc>
        <w:tc>
          <w:tcPr>
            <w:tcW w:w="2359" w:type="dxa"/>
          </w:tcPr>
          <w:p w14:paraId="7F43E1C7" w14:textId="6B2AFE62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 xml:space="preserve">Pictură frescă -  finalizare proiect </w:t>
            </w:r>
          </w:p>
        </w:tc>
        <w:tc>
          <w:tcPr>
            <w:tcW w:w="1701" w:type="dxa"/>
          </w:tcPr>
          <w:p w14:paraId="19243473" w14:textId="704AC3BB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85.000 lei</w:t>
            </w:r>
          </w:p>
        </w:tc>
        <w:tc>
          <w:tcPr>
            <w:tcW w:w="1843" w:type="dxa"/>
          </w:tcPr>
          <w:p w14:paraId="3E4AE9F2" w14:textId="6F3A9A83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Finalizat</w:t>
            </w:r>
          </w:p>
        </w:tc>
      </w:tr>
      <w:tr w:rsidR="00992BDD" w:rsidRPr="00992BDD" w14:paraId="136B0274" w14:textId="5AFDB1F8" w:rsidTr="005C437C">
        <w:tc>
          <w:tcPr>
            <w:tcW w:w="1404" w:type="dxa"/>
          </w:tcPr>
          <w:p w14:paraId="2B4F6A21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5" w:type="dxa"/>
          </w:tcPr>
          <w:p w14:paraId="20A749A2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Sf. Nectarie (Str. Crângului)</w:t>
            </w:r>
          </w:p>
        </w:tc>
        <w:tc>
          <w:tcPr>
            <w:tcW w:w="2359" w:type="dxa"/>
          </w:tcPr>
          <w:p w14:paraId="3D8D8986" w14:textId="4E0F2971" w:rsidR="00992BDD" w:rsidRPr="00992BDD" w:rsidRDefault="005B77FF" w:rsidP="005B7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7FF">
              <w:rPr>
                <w:rFonts w:ascii="Times New Roman" w:hAnsi="Times New Roman" w:cs="Times New Roman"/>
              </w:rPr>
              <w:t>Pictură frescă</w:t>
            </w:r>
          </w:p>
        </w:tc>
        <w:tc>
          <w:tcPr>
            <w:tcW w:w="1701" w:type="dxa"/>
          </w:tcPr>
          <w:p w14:paraId="4CC096EE" w14:textId="6A399171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30.000 lei</w:t>
            </w:r>
          </w:p>
        </w:tc>
        <w:tc>
          <w:tcPr>
            <w:tcW w:w="1843" w:type="dxa"/>
          </w:tcPr>
          <w:p w14:paraId="51A154C1" w14:textId="1CE2CABE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3DFFD94D" w14:textId="353D4BE7" w:rsidTr="005C437C">
        <w:tc>
          <w:tcPr>
            <w:tcW w:w="1404" w:type="dxa"/>
          </w:tcPr>
          <w:p w14:paraId="0B49D564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5" w:type="dxa"/>
          </w:tcPr>
          <w:p w14:paraId="2A8C081D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Sf. Andrei (</w:t>
            </w:r>
            <w:proofErr w:type="spellStart"/>
            <w:r w:rsidRPr="00992BDD">
              <w:rPr>
                <w:rFonts w:ascii="Times New Roman" w:hAnsi="Times New Roman" w:cs="Times New Roman"/>
              </w:rPr>
              <w:t>Mulatău</w:t>
            </w:r>
            <w:proofErr w:type="spellEnd"/>
            <w:r w:rsidRPr="00992B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9" w:type="dxa"/>
          </w:tcPr>
          <w:p w14:paraId="5F1BD03E" w14:textId="33C10E6A" w:rsidR="00992BDD" w:rsidRPr="00992BDD" w:rsidRDefault="005B77FF" w:rsidP="005B77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7FF">
              <w:rPr>
                <w:rFonts w:ascii="Times New Roman" w:hAnsi="Times New Roman" w:cs="Times New Roman"/>
              </w:rPr>
              <w:t>Continuare lucrări casa parohială</w:t>
            </w:r>
          </w:p>
        </w:tc>
        <w:tc>
          <w:tcPr>
            <w:tcW w:w="1701" w:type="dxa"/>
          </w:tcPr>
          <w:p w14:paraId="59200F82" w14:textId="79E19B9D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30.000 lei</w:t>
            </w:r>
          </w:p>
        </w:tc>
        <w:tc>
          <w:tcPr>
            <w:tcW w:w="1843" w:type="dxa"/>
          </w:tcPr>
          <w:p w14:paraId="0B95A3F4" w14:textId="55C4D2A2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3EC6FA72" w14:textId="06BF829D" w:rsidTr="005C437C">
        <w:tc>
          <w:tcPr>
            <w:tcW w:w="1404" w:type="dxa"/>
          </w:tcPr>
          <w:p w14:paraId="1B40281B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5" w:type="dxa"/>
          </w:tcPr>
          <w:p w14:paraId="074F5214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Sf. Mina (Triaj)</w:t>
            </w:r>
          </w:p>
        </w:tc>
        <w:tc>
          <w:tcPr>
            <w:tcW w:w="2359" w:type="dxa"/>
          </w:tcPr>
          <w:p w14:paraId="225F9463" w14:textId="0B9FDF2C" w:rsidR="00992BDD" w:rsidRPr="00992BDD" w:rsidRDefault="005B77FF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B77FF">
              <w:rPr>
                <w:rFonts w:ascii="Times New Roman" w:hAnsi="Times New Roman" w:cs="Times New Roman"/>
              </w:rPr>
              <w:t>ucrări zidărie și acoperiș biserică</w:t>
            </w:r>
          </w:p>
        </w:tc>
        <w:tc>
          <w:tcPr>
            <w:tcW w:w="1701" w:type="dxa"/>
          </w:tcPr>
          <w:p w14:paraId="090C7A92" w14:textId="4910BE41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30.000 lei</w:t>
            </w:r>
          </w:p>
        </w:tc>
        <w:tc>
          <w:tcPr>
            <w:tcW w:w="1843" w:type="dxa"/>
          </w:tcPr>
          <w:p w14:paraId="7C0272A2" w14:textId="6CB6F7A0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3D18447D" w14:textId="04F4BA80" w:rsidTr="005C437C">
        <w:tc>
          <w:tcPr>
            <w:tcW w:w="1404" w:type="dxa"/>
          </w:tcPr>
          <w:p w14:paraId="7282C539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5" w:type="dxa"/>
          </w:tcPr>
          <w:p w14:paraId="1DD5056F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Ocna Dejului I Sf. Nicolae</w:t>
            </w:r>
          </w:p>
        </w:tc>
        <w:tc>
          <w:tcPr>
            <w:tcW w:w="2359" w:type="dxa"/>
          </w:tcPr>
          <w:p w14:paraId="0869C42F" w14:textId="2AB4B6A4" w:rsidR="00992BDD" w:rsidRPr="00992BDD" w:rsidRDefault="005B77FF" w:rsidP="005B77F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B77FF">
              <w:rPr>
                <w:rFonts w:ascii="Times New Roman" w:hAnsi="Times New Roman" w:cs="Times New Roman"/>
              </w:rPr>
              <w:t>ucrări construire capelă</w:t>
            </w:r>
          </w:p>
        </w:tc>
        <w:tc>
          <w:tcPr>
            <w:tcW w:w="1701" w:type="dxa"/>
          </w:tcPr>
          <w:p w14:paraId="103E3231" w14:textId="47CC6C7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20.000 lei</w:t>
            </w:r>
          </w:p>
        </w:tc>
        <w:tc>
          <w:tcPr>
            <w:tcW w:w="1843" w:type="dxa"/>
          </w:tcPr>
          <w:p w14:paraId="3BA3678A" w14:textId="5E3CD31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74722691" w14:textId="06C7E4F7" w:rsidTr="005C437C">
        <w:tc>
          <w:tcPr>
            <w:tcW w:w="1404" w:type="dxa"/>
          </w:tcPr>
          <w:p w14:paraId="67083C36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5" w:type="dxa"/>
          </w:tcPr>
          <w:p w14:paraId="41FAC46D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Ocna Dejului II Sf. Arhangheli</w:t>
            </w:r>
          </w:p>
        </w:tc>
        <w:tc>
          <w:tcPr>
            <w:tcW w:w="2359" w:type="dxa"/>
          </w:tcPr>
          <w:p w14:paraId="4F37BAC0" w14:textId="56DA9B53" w:rsidR="00992BDD" w:rsidRPr="00992BDD" w:rsidRDefault="005C437C" w:rsidP="005B77F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C437C">
              <w:rPr>
                <w:rFonts w:ascii="Times New Roman" w:hAnsi="Times New Roman" w:cs="Times New Roman"/>
              </w:rPr>
              <w:t>ucrări amenajare interior/exterior</w:t>
            </w:r>
          </w:p>
        </w:tc>
        <w:tc>
          <w:tcPr>
            <w:tcW w:w="1701" w:type="dxa"/>
          </w:tcPr>
          <w:p w14:paraId="4C4E5726" w14:textId="5C980654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20.000 lei</w:t>
            </w:r>
          </w:p>
        </w:tc>
        <w:tc>
          <w:tcPr>
            <w:tcW w:w="1843" w:type="dxa"/>
          </w:tcPr>
          <w:p w14:paraId="3DA78450" w14:textId="26E9E74D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25D7D0EE" w14:textId="5E8BCDD2" w:rsidTr="005C437C">
        <w:tc>
          <w:tcPr>
            <w:tcW w:w="1404" w:type="dxa"/>
          </w:tcPr>
          <w:p w14:paraId="5A3E79BE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5" w:type="dxa"/>
          </w:tcPr>
          <w:p w14:paraId="29D14B9C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I Sf. Mihail și Gavril (str. Gutinului)</w:t>
            </w:r>
          </w:p>
        </w:tc>
        <w:tc>
          <w:tcPr>
            <w:tcW w:w="2359" w:type="dxa"/>
          </w:tcPr>
          <w:p w14:paraId="478CD5E2" w14:textId="0711B31B" w:rsidR="00992BDD" w:rsidRPr="00992BDD" w:rsidRDefault="005C437C" w:rsidP="005C43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37C">
              <w:rPr>
                <w:rFonts w:ascii="Times New Roman" w:hAnsi="Times New Roman" w:cs="Times New Roman"/>
              </w:rPr>
              <w:t>Lucrări finisaj pardoseală marmură</w:t>
            </w:r>
          </w:p>
        </w:tc>
        <w:tc>
          <w:tcPr>
            <w:tcW w:w="1701" w:type="dxa"/>
          </w:tcPr>
          <w:p w14:paraId="5D4E747D" w14:textId="280449B8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15.000 lei</w:t>
            </w:r>
          </w:p>
        </w:tc>
        <w:tc>
          <w:tcPr>
            <w:tcW w:w="1843" w:type="dxa"/>
          </w:tcPr>
          <w:p w14:paraId="3463EC8C" w14:textId="2F89E310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4785248D" w14:textId="787688FA" w:rsidTr="005C437C">
        <w:tc>
          <w:tcPr>
            <w:tcW w:w="1404" w:type="dxa"/>
          </w:tcPr>
          <w:p w14:paraId="6376F50E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25" w:type="dxa"/>
          </w:tcPr>
          <w:p w14:paraId="65A3F592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II Adormirea Maicii Domnului (Str. Regina Maria)</w:t>
            </w:r>
          </w:p>
        </w:tc>
        <w:tc>
          <w:tcPr>
            <w:tcW w:w="2359" w:type="dxa"/>
          </w:tcPr>
          <w:p w14:paraId="7E720CD6" w14:textId="6DB1F221" w:rsidR="00992BDD" w:rsidRPr="00992BDD" w:rsidRDefault="00CA7749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7749">
              <w:rPr>
                <w:rFonts w:ascii="Times New Roman" w:hAnsi="Times New Roman" w:cs="Times New Roman"/>
              </w:rPr>
              <w:t>Reparații</w:t>
            </w:r>
            <w:r w:rsidR="00D5099F">
              <w:rPr>
                <w:rFonts w:ascii="Times New Roman" w:hAnsi="Times New Roman" w:cs="Times New Roman"/>
              </w:rPr>
              <w:t xml:space="preserve"> biserică</w:t>
            </w:r>
          </w:p>
        </w:tc>
        <w:tc>
          <w:tcPr>
            <w:tcW w:w="1701" w:type="dxa"/>
          </w:tcPr>
          <w:p w14:paraId="5E10D9EC" w14:textId="00F6283B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10.000 lei</w:t>
            </w:r>
          </w:p>
        </w:tc>
        <w:tc>
          <w:tcPr>
            <w:tcW w:w="1843" w:type="dxa"/>
          </w:tcPr>
          <w:p w14:paraId="7671E204" w14:textId="57E095C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78EFEDC9" w14:textId="09F8B5C2" w:rsidTr="005C437C">
        <w:tc>
          <w:tcPr>
            <w:tcW w:w="1404" w:type="dxa"/>
          </w:tcPr>
          <w:p w14:paraId="59D80BB0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B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5" w:type="dxa"/>
          </w:tcPr>
          <w:p w14:paraId="5045504E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Pintic</w:t>
            </w:r>
          </w:p>
        </w:tc>
        <w:tc>
          <w:tcPr>
            <w:tcW w:w="2359" w:type="dxa"/>
          </w:tcPr>
          <w:p w14:paraId="19EAF54A" w14:textId="18FFC774" w:rsidR="00992BDD" w:rsidRPr="00992BDD" w:rsidRDefault="00D5099F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Reparații acoperiș</w:t>
            </w:r>
          </w:p>
        </w:tc>
        <w:tc>
          <w:tcPr>
            <w:tcW w:w="1701" w:type="dxa"/>
          </w:tcPr>
          <w:p w14:paraId="0E26935C" w14:textId="786370CA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10.000 lei</w:t>
            </w:r>
          </w:p>
        </w:tc>
        <w:tc>
          <w:tcPr>
            <w:tcW w:w="1843" w:type="dxa"/>
          </w:tcPr>
          <w:p w14:paraId="25618229" w14:textId="27735AE6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281AC7F6" w14:textId="28CB1897" w:rsidTr="005C437C">
        <w:tc>
          <w:tcPr>
            <w:tcW w:w="1404" w:type="dxa"/>
          </w:tcPr>
          <w:p w14:paraId="27822F28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5" w:type="dxa"/>
          </w:tcPr>
          <w:p w14:paraId="4857E42D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 xml:space="preserve">Par. Ortodoxă Valea </w:t>
            </w:r>
            <w:proofErr w:type="spellStart"/>
            <w:r w:rsidRPr="00992BDD">
              <w:rPr>
                <w:rFonts w:ascii="Times New Roman" w:hAnsi="Times New Roman" w:cs="Times New Roman"/>
              </w:rPr>
              <w:t>Codorului</w:t>
            </w:r>
            <w:proofErr w:type="spellEnd"/>
          </w:p>
        </w:tc>
        <w:tc>
          <w:tcPr>
            <w:tcW w:w="2359" w:type="dxa"/>
          </w:tcPr>
          <w:p w14:paraId="167255F5" w14:textId="45D71D6A" w:rsidR="00992BDD" w:rsidRPr="00992BDD" w:rsidRDefault="00D5099F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Lucrări de împrejmuire și trotuar</w:t>
            </w:r>
          </w:p>
        </w:tc>
        <w:tc>
          <w:tcPr>
            <w:tcW w:w="1701" w:type="dxa"/>
          </w:tcPr>
          <w:p w14:paraId="6ED97999" w14:textId="65D0CDC1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10.000 lei</w:t>
            </w:r>
          </w:p>
        </w:tc>
        <w:tc>
          <w:tcPr>
            <w:tcW w:w="1843" w:type="dxa"/>
          </w:tcPr>
          <w:p w14:paraId="127B2D74" w14:textId="55808B34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038575E7" w14:textId="1A8B7164" w:rsidTr="005C437C">
        <w:tc>
          <w:tcPr>
            <w:tcW w:w="1404" w:type="dxa"/>
          </w:tcPr>
          <w:p w14:paraId="2675F911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5" w:type="dxa"/>
          </w:tcPr>
          <w:p w14:paraId="16E0CCB5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Viile Dejului</w:t>
            </w:r>
          </w:p>
        </w:tc>
        <w:tc>
          <w:tcPr>
            <w:tcW w:w="2359" w:type="dxa"/>
          </w:tcPr>
          <w:p w14:paraId="487F1AE3" w14:textId="4D16CA0D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>Schimbare acoperiș casa parohială</w:t>
            </w:r>
          </w:p>
        </w:tc>
        <w:tc>
          <w:tcPr>
            <w:tcW w:w="1701" w:type="dxa"/>
          </w:tcPr>
          <w:p w14:paraId="4919F2D3" w14:textId="3B58609C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10.000 lei</w:t>
            </w:r>
          </w:p>
        </w:tc>
        <w:tc>
          <w:tcPr>
            <w:tcW w:w="1843" w:type="dxa"/>
          </w:tcPr>
          <w:p w14:paraId="7289D048" w14:textId="2ADC48C2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3E544E23" w14:textId="2C085AE2" w:rsidTr="005C437C">
        <w:tc>
          <w:tcPr>
            <w:tcW w:w="1404" w:type="dxa"/>
          </w:tcPr>
          <w:p w14:paraId="3208CBF3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5" w:type="dxa"/>
          </w:tcPr>
          <w:p w14:paraId="1685097D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Ortodoxă Șomcutul Mic</w:t>
            </w:r>
          </w:p>
        </w:tc>
        <w:tc>
          <w:tcPr>
            <w:tcW w:w="2359" w:type="dxa"/>
          </w:tcPr>
          <w:p w14:paraId="1650262F" w14:textId="728E0327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>Construcție casa parohială</w:t>
            </w:r>
          </w:p>
        </w:tc>
        <w:tc>
          <w:tcPr>
            <w:tcW w:w="1701" w:type="dxa"/>
          </w:tcPr>
          <w:p w14:paraId="08C9BC95" w14:textId="4F37449D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10.000 lei</w:t>
            </w:r>
          </w:p>
        </w:tc>
        <w:tc>
          <w:tcPr>
            <w:tcW w:w="1843" w:type="dxa"/>
          </w:tcPr>
          <w:p w14:paraId="57936C56" w14:textId="17D5641A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55D28361" w14:textId="4DB01015" w:rsidTr="005C437C">
        <w:tc>
          <w:tcPr>
            <w:tcW w:w="1404" w:type="dxa"/>
          </w:tcPr>
          <w:p w14:paraId="43465C6C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5" w:type="dxa"/>
          </w:tcPr>
          <w:p w14:paraId="7D546E8D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Reformată Dej</w:t>
            </w:r>
          </w:p>
        </w:tc>
        <w:tc>
          <w:tcPr>
            <w:tcW w:w="2359" w:type="dxa"/>
          </w:tcPr>
          <w:p w14:paraId="6EC7DD7D" w14:textId="79B35B84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>Reabilitare imobil Traian nr. 1</w:t>
            </w:r>
          </w:p>
        </w:tc>
        <w:tc>
          <w:tcPr>
            <w:tcW w:w="1701" w:type="dxa"/>
          </w:tcPr>
          <w:p w14:paraId="2B2216D4" w14:textId="1BD5A92D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5.000 lei</w:t>
            </w:r>
          </w:p>
        </w:tc>
        <w:tc>
          <w:tcPr>
            <w:tcW w:w="1843" w:type="dxa"/>
          </w:tcPr>
          <w:p w14:paraId="7665E498" w14:textId="6080F855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31A47109" w14:textId="3DFF9BCC" w:rsidTr="005C437C">
        <w:tc>
          <w:tcPr>
            <w:tcW w:w="1404" w:type="dxa"/>
          </w:tcPr>
          <w:p w14:paraId="0806FB34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5" w:type="dxa"/>
          </w:tcPr>
          <w:p w14:paraId="0EDFC100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Reformată Ocna Dej</w:t>
            </w:r>
          </w:p>
        </w:tc>
        <w:tc>
          <w:tcPr>
            <w:tcW w:w="2359" w:type="dxa"/>
          </w:tcPr>
          <w:p w14:paraId="173DCFE3" w14:textId="1CD890C0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>Văruire interioară, izolare exterioară casă de rugăciuni</w:t>
            </w:r>
          </w:p>
        </w:tc>
        <w:tc>
          <w:tcPr>
            <w:tcW w:w="1701" w:type="dxa"/>
          </w:tcPr>
          <w:p w14:paraId="38FBDEF0" w14:textId="048902D1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5.000 lei</w:t>
            </w:r>
          </w:p>
        </w:tc>
        <w:tc>
          <w:tcPr>
            <w:tcW w:w="1843" w:type="dxa"/>
          </w:tcPr>
          <w:p w14:paraId="1208AF43" w14:textId="79B2DEFC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4D99FEE4" w14:textId="7238621F" w:rsidTr="005C437C">
        <w:tc>
          <w:tcPr>
            <w:tcW w:w="1404" w:type="dxa"/>
          </w:tcPr>
          <w:p w14:paraId="0C912390" w14:textId="77777777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5" w:type="dxa"/>
          </w:tcPr>
          <w:p w14:paraId="370E151E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Par. Reformată Viile Dejului</w:t>
            </w:r>
          </w:p>
        </w:tc>
        <w:tc>
          <w:tcPr>
            <w:tcW w:w="2359" w:type="dxa"/>
          </w:tcPr>
          <w:p w14:paraId="40FADFB1" w14:textId="2DDAD6CF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>Reparații și construire instalații</w:t>
            </w:r>
          </w:p>
        </w:tc>
        <w:tc>
          <w:tcPr>
            <w:tcW w:w="1701" w:type="dxa"/>
          </w:tcPr>
          <w:p w14:paraId="324CF684" w14:textId="395D07A4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5.000 lei</w:t>
            </w:r>
          </w:p>
        </w:tc>
        <w:tc>
          <w:tcPr>
            <w:tcW w:w="1843" w:type="dxa"/>
          </w:tcPr>
          <w:p w14:paraId="781935B8" w14:textId="50970025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  <w:tr w:rsidR="00992BDD" w:rsidRPr="00992BDD" w14:paraId="084EB801" w14:textId="7A2EDAC9" w:rsidTr="005C437C">
        <w:tc>
          <w:tcPr>
            <w:tcW w:w="1404" w:type="dxa"/>
          </w:tcPr>
          <w:p w14:paraId="27D461F9" w14:textId="77777777" w:rsidR="00992BDD" w:rsidRPr="00992BDD" w:rsidRDefault="00992BDD" w:rsidP="005B77FF">
            <w:pPr>
              <w:pStyle w:val="Titl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BDD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325" w:type="dxa"/>
          </w:tcPr>
          <w:p w14:paraId="19BF4B93" w14:textId="77777777" w:rsidR="00992BDD" w:rsidRPr="00992BDD" w:rsidRDefault="00992BDD" w:rsidP="006240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 xml:space="preserve">Par. </w:t>
            </w:r>
            <w:proofErr w:type="spellStart"/>
            <w:r w:rsidRPr="00992BDD">
              <w:rPr>
                <w:rFonts w:ascii="Times New Roman" w:hAnsi="Times New Roman" w:cs="Times New Roman"/>
              </w:rPr>
              <w:t>Romano</w:t>
            </w:r>
            <w:proofErr w:type="spellEnd"/>
            <w:r w:rsidRPr="00992BDD">
              <w:rPr>
                <w:rFonts w:ascii="Times New Roman" w:hAnsi="Times New Roman" w:cs="Times New Roman"/>
              </w:rPr>
              <w:t xml:space="preserve"> Catolică Dej</w:t>
            </w:r>
          </w:p>
        </w:tc>
        <w:tc>
          <w:tcPr>
            <w:tcW w:w="2359" w:type="dxa"/>
          </w:tcPr>
          <w:p w14:paraId="6C5917F7" w14:textId="7E207868" w:rsidR="00992BDD" w:rsidRPr="00992BDD" w:rsidRDefault="00D5099F" w:rsidP="00D50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099F">
              <w:rPr>
                <w:rFonts w:ascii="Times New Roman" w:hAnsi="Times New Roman" w:cs="Times New Roman"/>
              </w:rPr>
              <w:t xml:space="preserve">Reabilitare capelă </w:t>
            </w:r>
            <w:r>
              <w:rPr>
                <w:rFonts w:ascii="Times New Roman" w:hAnsi="Times New Roman" w:cs="Times New Roman"/>
              </w:rPr>
              <w:t xml:space="preserve">și </w:t>
            </w:r>
            <w:r w:rsidRPr="00D5099F">
              <w:rPr>
                <w:rFonts w:ascii="Times New Roman" w:hAnsi="Times New Roman" w:cs="Times New Roman"/>
              </w:rPr>
              <w:t>gard</w:t>
            </w:r>
          </w:p>
        </w:tc>
        <w:tc>
          <w:tcPr>
            <w:tcW w:w="1701" w:type="dxa"/>
          </w:tcPr>
          <w:p w14:paraId="5AC31021" w14:textId="73645D38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2BDD">
              <w:rPr>
                <w:rFonts w:ascii="Times New Roman" w:hAnsi="Times New Roman" w:cs="Times New Roman"/>
              </w:rPr>
              <w:t>5.000 lei</w:t>
            </w:r>
          </w:p>
        </w:tc>
        <w:tc>
          <w:tcPr>
            <w:tcW w:w="1843" w:type="dxa"/>
          </w:tcPr>
          <w:p w14:paraId="728C5677" w14:textId="50A49751" w:rsidR="00992BDD" w:rsidRPr="00992BDD" w:rsidRDefault="00992BDD" w:rsidP="006240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 </w:t>
            </w:r>
          </w:p>
        </w:tc>
      </w:tr>
    </w:tbl>
    <w:p w14:paraId="4EF5B50F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F137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B2FC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02586" w14:textId="77777777" w:rsidR="003D13EA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2D17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COMISIA:</w:t>
      </w:r>
    </w:p>
    <w:p w14:paraId="05BABA07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Albinetz Constantin – președinte</w:t>
      </w:r>
    </w:p>
    <w:p w14:paraId="677F5CE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Moldovan Horațiu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1C1B28BD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Anamaria Magdalena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8F69DF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Gavriș Geanina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08162B1A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Husa Lucian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5804449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Făt Ioan – membru</w:t>
      </w:r>
    </w:p>
    <w:p w14:paraId="34C87512" w14:textId="77777777" w:rsidR="003D13EA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Rus Ovidiu – membru</w:t>
      </w:r>
    </w:p>
    <w:p w14:paraId="093FF122" w14:textId="77777777" w:rsidR="003D13EA" w:rsidRPr="000C2597" w:rsidRDefault="003D13EA" w:rsidP="005B77FF">
      <w:pPr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Fatol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Marian – membru</w:t>
      </w:r>
    </w:p>
    <w:p w14:paraId="751264AA" w14:textId="77777777" w:rsidR="003D13EA" w:rsidRPr="000C2597" w:rsidRDefault="003D13EA" w:rsidP="005B77F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Danciu Nicoleta</w:t>
      </w:r>
      <w:r w:rsidRPr="000C2597"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b/>
          <w:sz w:val="24"/>
          <w:szCs w:val="24"/>
        </w:rPr>
        <w:t xml:space="preserve"> membru și</w:t>
      </w:r>
      <w:r w:rsidRPr="000C2597">
        <w:rPr>
          <w:rFonts w:ascii="Tahoma" w:hAnsi="Tahoma" w:cs="Tahoma"/>
          <w:b/>
          <w:sz w:val="24"/>
          <w:szCs w:val="24"/>
        </w:rPr>
        <w:t xml:space="preserve"> secretar</w:t>
      </w:r>
    </w:p>
    <w:p w14:paraId="5DACBA41" w14:textId="77777777" w:rsidR="003D13EA" w:rsidRPr="00151347" w:rsidRDefault="003D13EA" w:rsidP="003D1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22A0D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417C8" w14:textId="77777777" w:rsidR="003D13EA" w:rsidRPr="00151347" w:rsidRDefault="003D13EA" w:rsidP="003D13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A5F17" w14:textId="77777777" w:rsidR="004D4545" w:rsidRDefault="004D4545"/>
    <w:sectPr w:rsidR="004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530"/>
    <w:multiLevelType w:val="hybridMultilevel"/>
    <w:tmpl w:val="2E0E4DFE"/>
    <w:lvl w:ilvl="0" w:tplc="A630F2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D"/>
    <w:rsid w:val="000B5A23"/>
    <w:rsid w:val="002C5587"/>
    <w:rsid w:val="003D13EA"/>
    <w:rsid w:val="004D4545"/>
    <w:rsid w:val="005B77FF"/>
    <w:rsid w:val="005C437C"/>
    <w:rsid w:val="0062163D"/>
    <w:rsid w:val="007E5A4F"/>
    <w:rsid w:val="00992BDD"/>
    <w:rsid w:val="00BE64ED"/>
    <w:rsid w:val="00CA7749"/>
    <w:rsid w:val="00D044ED"/>
    <w:rsid w:val="00D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73"/>
  <w15:chartTrackingRefBased/>
  <w15:docId w15:val="{F6E8DCB3-B5D7-4F27-8EDC-2973B1A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13E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D13EA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3D1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D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6</cp:revision>
  <dcterms:created xsi:type="dcterms:W3CDTF">2022-02-08T07:13:00Z</dcterms:created>
  <dcterms:modified xsi:type="dcterms:W3CDTF">2022-02-09T08:42:00Z</dcterms:modified>
</cp:coreProperties>
</file>